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E6376" w14:textId="77777777" w:rsidR="00DC012D" w:rsidRDefault="00281552">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szCs w:val="28"/>
        </w:rPr>
        <w:t>3GPP TSG RAN WG1 #109-e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R1-2204753</w:t>
      </w:r>
    </w:p>
    <w:p w14:paraId="13AA7931" w14:textId="77777777" w:rsidR="00DC012D" w:rsidRDefault="00281552">
      <w:pPr>
        <w:tabs>
          <w:tab w:val="center" w:pos="4536"/>
          <w:tab w:val="right" w:pos="9072"/>
        </w:tabs>
        <w:jc w:val="both"/>
        <w:rPr>
          <w:rFonts w:ascii="Times New Roman" w:hAnsi="Times New Roman" w:cs="Times New Roman"/>
        </w:rPr>
      </w:pPr>
      <w:r>
        <w:rPr>
          <w:rFonts w:ascii="Times New Roman" w:eastAsia="MS Mincho;Yu Gothic UI" w:hAnsi="Times New Roman" w:cs="Times New Roman"/>
          <w:b/>
          <w:bCs/>
          <w:sz w:val="28"/>
          <w:lang w:eastAsia="ja-JP"/>
        </w:rPr>
        <w:t>e-Meeting, May 9</w:t>
      </w:r>
      <w:r>
        <w:rPr>
          <w:rFonts w:ascii="Times New Roman" w:eastAsia="MS Mincho;Yu Gothic UI" w:hAnsi="Times New Roman" w:cs="Times New Roman"/>
          <w:b/>
          <w:bCs/>
          <w:sz w:val="28"/>
          <w:vertAlign w:val="superscript"/>
          <w:lang w:eastAsia="ja-JP"/>
        </w:rPr>
        <w:t>th</w:t>
      </w:r>
      <w:r>
        <w:rPr>
          <w:rFonts w:ascii="Times New Roman" w:eastAsia="MS Mincho;Yu Gothic UI" w:hAnsi="Times New Roman" w:cs="Times New Roman"/>
          <w:b/>
          <w:bCs/>
          <w:sz w:val="28"/>
          <w:lang w:eastAsia="ja-JP"/>
        </w:rPr>
        <w:t xml:space="preserve"> – 20</w:t>
      </w:r>
      <w:r>
        <w:rPr>
          <w:rFonts w:ascii="Times New Roman" w:eastAsia="MS Mincho;Yu Gothic UI" w:hAnsi="Times New Roman" w:cs="Times New Roman"/>
          <w:b/>
          <w:bCs/>
          <w:sz w:val="28"/>
          <w:vertAlign w:val="superscript"/>
          <w:lang w:eastAsia="ja-JP"/>
        </w:rPr>
        <w:t>th</w:t>
      </w:r>
      <w:r>
        <w:rPr>
          <w:rFonts w:ascii="Times New Roman" w:eastAsia="MS Mincho;Yu Gothic UI" w:hAnsi="Times New Roman" w:cs="Times New Roman"/>
          <w:b/>
          <w:bCs/>
          <w:sz w:val="28"/>
          <w:lang w:eastAsia="ja-JP"/>
        </w:rPr>
        <w:t>, 2022</w:t>
      </w:r>
    </w:p>
    <w:p w14:paraId="0DF7FFAE" w14:textId="77777777" w:rsidR="00DC012D" w:rsidRDefault="00DC012D">
      <w:pPr>
        <w:jc w:val="both"/>
        <w:rPr>
          <w:rFonts w:ascii="Times New Roman" w:eastAsia="MS Mincho;Yu Gothic UI" w:hAnsi="Times New Roman" w:cs="Times New Roman"/>
          <w:b/>
          <w:bCs/>
          <w:sz w:val="28"/>
          <w:szCs w:val="20"/>
          <w:lang w:eastAsia="ja-JP"/>
        </w:rPr>
      </w:pPr>
    </w:p>
    <w:p w14:paraId="7E18767F" w14:textId="70B662EF" w:rsidR="00DC012D" w:rsidRDefault="00281552">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sidR="00F706CA" w:rsidRPr="00624C35">
        <w:rPr>
          <w:rFonts w:ascii="Times New Roman" w:hAnsi="Times New Roman" w:cs="Times New Roman"/>
          <w:b/>
          <w:sz w:val="22"/>
          <w:szCs w:val="20"/>
        </w:rPr>
        <w:t>CEWiT,</w:t>
      </w:r>
      <w:r w:rsidR="00F706CA">
        <w:rPr>
          <w:rFonts w:ascii="Times New Roman" w:hAnsi="Times New Roman" w:cs="Times New Roman"/>
          <w:b/>
          <w:sz w:val="22"/>
          <w:szCs w:val="20"/>
        </w:rPr>
        <w:t xml:space="preserve"> Reliance Jio, IITM, IITK, </w:t>
      </w:r>
      <w:proofErr w:type="spellStart"/>
      <w:r w:rsidR="00F706CA">
        <w:rPr>
          <w:rFonts w:ascii="Times New Roman" w:hAnsi="Times New Roman" w:cs="Times New Roman"/>
          <w:b/>
          <w:sz w:val="22"/>
          <w:szCs w:val="20"/>
        </w:rPr>
        <w:t>Saankhya</w:t>
      </w:r>
      <w:proofErr w:type="spellEnd"/>
      <w:r w:rsidR="00F706CA">
        <w:rPr>
          <w:rFonts w:ascii="Times New Roman" w:hAnsi="Times New Roman" w:cs="Times New Roman"/>
          <w:b/>
          <w:sz w:val="22"/>
          <w:szCs w:val="20"/>
        </w:rPr>
        <w:t xml:space="preserve"> Labs</w:t>
      </w:r>
    </w:p>
    <w:p w14:paraId="0B86E080" w14:textId="77777777" w:rsidR="00DC012D" w:rsidRDefault="00281552">
      <w:pPr>
        <w:tabs>
          <w:tab w:val="left" w:pos="1985"/>
          <w:tab w:val="left" w:pos="2835"/>
          <w:tab w:val="right" w:pos="9072"/>
          <w:tab w:val="right" w:pos="10206"/>
        </w:tabs>
        <w:jc w:val="both"/>
        <w:rPr>
          <w:rFonts w:ascii="Times New Roman" w:hAnsi="Times New Roman" w:cs="Times New Roman"/>
          <w:b/>
          <w:bCs/>
          <w:sz w:val="22"/>
          <w:szCs w:val="22"/>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Discussion on s</w:t>
      </w:r>
      <w:r>
        <w:rPr>
          <w:rFonts w:ascii="Times New Roman" w:hAnsi="Times New Roman" w:cs="Times New Roman"/>
          <w:b/>
          <w:bCs/>
          <w:sz w:val="22"/>
          <w:szCs w:val="22"/>
        </w:rPr>
        <w:t>idelink based positioning requirements &amp; scenarios</w:t>
      </w:r>
    </w:p>
    <w:p w14:paraId="505F3370" w14:textId="77777777" w:rsidR="00DC012D" w:rsidRDefault="00281552">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Agenda:</w:t>
      </w:r>
      <w:r>
        <w:rPr>
          <w:rFonts w:ascii="Times New Roman" w:hAnsi="Times New Roman" w:cs="Times New Roman"/>
          <w:b/>
          <w:bCs/>
          <w:sz w:val="22"/>
          <w:szCs w:val="22"/>
        </w:rPr>
        <w:tab/>
        <w:t>9.5.1.1</w:t>
      </w:r>
    </w:p>
    <w:p w14:paraId="6F453E94" w14:textId="77777777" w:rsidR="00DC012D" w:rsidRDefault="00281552">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sz w:val="22"/>
          <w:szCs w:val="20"/>
        </w:rPr>
        <w:t>Document for:</w:t>
      </w:r>
      <w:r>
        <w:rPr>
          <w:rFonts w:ascii="Times New Roman" w:hAnsi="Times New Roman" w:cs="Times New Roman"/>
          <w:b/>
          <w:sz w:val="22"/>
          <w:szCs w:val="20"/>
        </w:rPr>
        <w:tab/>
        <w:t>Discussion</w:t>
      </w:r>
    </w:p>
    <w:p w14:paraId="4E7EAD60" w14:textId="77777777" w:rsidR="00DC012D" w:rsidRDefault="00DC012D">
      <w:pPr>
        <w:pBdr>
          <w:bottom w:val="single" w:sz="4" w:space="1" w:color="000001"/>
        </w:pBdr>
        <w:jc w:val="both"/>
        <w:rPr>
          <w:rFonts w:ascii="Times New Roman" w:hAnsi="Times New Roman" w:cs="Times New Roman"/>
          <w:i/>
          <w:iCs/>
        </w:rPr>
      </w:pPr>
    </w:p>
    <w:p w14:paraId="6CCE0E38" w14:textId="77777777" w:rsidR="00DC012D" w:rsidRDefault="00281552">
      <w:pPr>
        <w:pStyle w:val="Heading3"/>
        <w:numPr>
          <w:ilvl w:val="2"/>
          <w:numId w:val="2"/>
        </w:numPr>
        <w:jc w:val="both"/>
        <w:rPr>
          <w:rFonts w:ascii="Times New Roman" w:hAnsi="Times New Roman" w:cs="Times New Roman"/>
        </w:rPr>
      </w:pPr>
      <w:r>
        <w:rPr>
          <w:rFonts w:ascii="Times New Roman" w:hAnsi="Times New Roman" w:cs="Times New Roman"/>
        </w:rPr>
        <w:t>Introduction:</w:t>
      </w:r>
    </w:p>
    <w:p w14:paraId="38046C16" w14:textId="77777777" w:rsidR="00DC012D" w:rsidRDefault="00DC012D">
      <w:pPr>
        <w:jc w:val="both"/>
        <w:rPr>
          <w:rFonts w:ascii="Times New Roman" w:hAnsi="Times New Roman" w:cs="Times New Roman"/>
        </w:rPr>
      </w:pPr>
    </w:p>
    <w:p w14:paraId="1CB357A5" w14:textId="77777777" w:rsidR="00DC012D" w:rsidRDefault="00281552">
      <w:pPr>
        <w:jc w:val="both"/>
        <w:rPr>
          <w:rFonts w:ascii="Times New Roman" w:hAnsi="Times New Roman" w:cs="Times New Roman"/>
        </w:rPr>
      </w:pPr>
      <w:r>
        <w:rPr>
          <w:rFonts w:ascii="Times New Roman" w:hAnsi="Times New Roman" w:cs="Times New Roman"/>
        </w:rPr>
        <w:t>In RAN #94-e, the study item on expanded and improved NR positioning [1] is approved. This study will focus on further improvement in Rel 16 and 17 positioning techniques considering the requirements from different verticals viz. V2X, public safety (first responder), industrial IoT etc. In the same meeting RAN plenary level study is concluded [4] which includes the inputs/ recommendations/ requirements from automotive groups like 5GAA and SAE which emphasize on the extension of RAN based positioning solutions over sidelink. Based on various inputs following objectives for positioning over sidelink are agreed,</w:t>
      </w:r>
    </w:p>
    <w:p w14:paraId="27360BA4" w14:textId="77777777" w:rsidR="00DC012D" w:rsidRDefault="00DC012D">
      <w:pPr>
        <w:jc w:val="both"/>
        <w:rPr>
          <w:rFonts w:ascii="Times New Roman" w:hAnsi="Times New Roman" w:cs="Times New Roman"/>
        </w:rPr>
      </w:pPr>
    </w:p>
    <w:p w14:paraId="5F695CFB" w14:textId="77777777" w:rsidR="00DC012D" w:rsidRDefault="00281552">
      <w:pPr>
        <w:numPr>
          <w:ilvl w:val="0"/>
          <w:numId w:val="3"/>
        </w:numPr>
        <w:jc w:val="both"/>
        <w:rPr>
          <w:rFonts w:ascii="Times New Roman" w:hAnsi="Times New Roman" w:cs="Times New Roman"/>
          <w:bCs/>
        </w:rPr>
      </w:pPr>
      <w:r>
        <w:rPr>
          <w:rFonts w:ascii="Times New Roman" w:hAnsi="Times New Roman" w:cs="Times New Roman"/>
          <w:bCs/>
        </w:rPr>
        <w:t xml:space="preserve">Study solutions for sidelink positioning considering the following: [RAN1, RAN2] </w:t>
      </w:r>
    </w:p>
    <w:p w14:paraId="6820F12F" w14:textId="77777777" w:rsidR="00DC012D" w:rsidRDefault="00281552">
      <w:pPr>
        <w:numPr>
          <w:ilvl w:val="1"/>
          <w:numId w:val="3"/>
        </w:numPr>
        <w:jc w:val="both"/>
        <w:rPr>
          <w:rFonts w:ascii="Times New Roman" w:hAnsi="Times New Roman" w:cs="Times New Roman"/>
          <w:bCs/>
        </w:rPr>
      </w:pPr>
      <w:r>
        <w:rPr>
          <w:rFonts w:ascii="Times New Roman" w:hAnsi="Times New Roman" w:cs="Times New Roman"/>
          <w:bCs/>
        </w:rPr>
        <w:t xml:space="preserve">Scenario/requirements </w:t>
      </w:r>
    </w:p>
    <w:p w14:paraId="52D17668"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 xml:space="preserve">Coverage scenarios to </w:t>
      </w:r>
      <w:proofErr w:type="gramStart"/>
      <w:r>
        <w:rPr>
          <w:rFonts w:ascii="Times New Roman" w:hAnsi="Times New Roman" w:cs="Times New Roman"/>
          <w:bCs/>
        </w:rPr>
        <w:t>cover:</w:t>
      </w:r>
      <w:proofErr w:type="gramEnd"/>
      <w:r>
        <w:rPr>
          <w:rFonts w:ascii="Times New Roman" w:hAnsi="Times New Roman" w:cs="Times New Roman"/>
          <w:bCs/>
        </w:rPr>
        <w:t xml:space="preserve"> in-coverage, partial-coverage and out-of-coverage</w:t>
      </w:r>
    </w:p>
    <w:p w14:paraId="48B867EB"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Requirements: Based on requirements identified in TR38.845 and TS22.261 and TS22.104</w:t>
      </w:r>
    </w:p>
    <w:p w14:paraId="6577910A"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Use cases: V2X (TR38.845), public safety (TR38.845), commercial (TS22.261), IIOT (TS22.104)</w:t>
      </w:r>
    </w:p>
    <w:p w14:paraId="37041156"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Spectrum: ITS, licensed</w:t>
      </w:r>
    </w:p>
    <w:p w14:paraId="3219EEE1" w14:textId="77777777" w:rsidR="00DC012D" w:rsidRDefault="00281552">
      <w:pPr>
        <w:numPr>
          <w:ilvl w:val="1"/>
          <w:numId w:val="3"/>
        </w:numPr>
        <w:jc w:val="both"/>
        <w:rPr>
          <w:rFonts w:ascii="Times New Roman" w:hAnsi="Times New Roman" w:cs="Times New Roman"/>
          <w:bCs/>
        </w:rPr>
      </w:pPr>
      <w:r>
        <w:rPr>
          <w:rFonts w:ascii="Times New Roman" w:hAnsi="Times New Roman" w:cs="Times New Roman"/>
          <w:bCs/>
        </w:rPr>
        <w:t>Identify specific target performance requirements to be considered for the evaluation based on existing 3GPP work and inputs from industry forums [RAN1]</w:t>
      </w:r>
    </w:p>
    <w:p w14:paraId="27EDF107" w14:textId="77777777" w:rsidR="00DC012D" w:rsidRDefault="00281552">
      <w:pPr>
        <w:numPr>
          <w:ilvl w:val="1"/>
          <w:numId w:val="3"/>
        </w:numPr>
        <w:jc w:val="both"/>
        <w:rPr>
          <w:rFonts w:ascii="Times New Roman" w:hAnsi="Times New Roman" w:cs="Times New Roman"/>
          <w:bCs/>
        </w:rPr>
      </w:pPr>
      <w:r>
        <w:rPr>
          <w:rFonts w:ascii="Times New Roman" w:hAnsi="Times New Roman" w:cs="Times New Roman"/>
          <w:bCs/>
        </w:rPr>
        <w:t xml:space="preserve">Define evaluation methodology with which to evaluate SL positioning for the </w:t>
      </w:r>
      <w:proofErr w:type="gramStart"/>
      <w:r>
        <w:rPr>
          <w:rFonts w:ascii="Times New Roman" w:hAnsi="Times New Roman" w:cs="Times New Roman"/>
          <w:bCs/>
        </w:rPr>
        <w:t>uses</w:t>
      </w:r>
      <w:proofErr w:type="gramEnd"/>
      <w:r>
        <w:rPr>
          <w:rFonts w:ascii="Times New Roman" w:hAnsi="Times New Roman" w:cs="Times New Roman"/>
          <w:bCs/>
        </w:rPr>
        <w:t xml:space="preserve"> cases and coverage scenarios, reusing existing methodologies from sidelink communication and from positioning as much as possible [RAN1]. </w:t>
      </w:r>
    </w:p>
    <w:p w14:paraId="6E44515D" w14:textId="77777777" w:rsidR="00DC012D" w:rsidRDefault="00281552">
      <w:pPr>
        <w:numPr>
          <w:ilvl w:val="1"/>
          <w:numId w:val="3"/>
        </w:numPr>
        <w:jc w:val="both"/>
        <w:rPr>
          <w:rFonts w:ascii="Times New Roman" w:hAnsi="Times New Roman" w:cs="Times New Roman"/>
          <w:bCs/>
        </w:rPr>
      </w:pPr>
      <w:r>
        <w:rPr>
          <w:rFonts w:ascii="Times New Roman" w:hAnsi="Times New Roman" w:cs="Times New Roman"/>
          <w:bCs/>
        </w:rPr>
        <w:t>Study and evaluate performance and feasibility of potential solutions for SL positioning, considering relative positioning, ranging and absolute positioning: [RAN1, RAN2]</w:t>
      </w:r>
    </w:p>
    <w:p w14:paraId="4DF242FD"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Evaluate bandwidth requirement needed to meet the identified accuracy requirements [RAN1]</w:t>
      </w:r>
    </w:p>
    <w:p w14:paraId="6200B475"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Study of positioning methods (</w:t>
      </w:r>
      <w:proofErr w:type="gramStart"/>
      <w:r>
        <w:rPr>
          <w:rFonts w:ascii="Times New Roman" w:hAnsi="Times New Roman" w:cs="Times New Roman"/>
          <w:bCs/>
        </w:rPr>
        <w:t>e.g.</w:t>
      </w:r>
      <w:proofErr w:type="gramEnd"/>
      <w:r>
        <w:rPr>
          <w:rFonts w:ascii="Times New Roman" w:hAnsi="Times New Roman" w:cs="Times New Roman"/>
          <w:bCs/>
        </w:rPr>
        <w:t xml:space="preserve"> TDOA, RTT, AOA/D, etc) including combination of SL positioning measurements with other RAT dependent positioning measurements (e.g. </w:t>
      </w:r>
      <w:proofErr w:type="spellStart"/>
      <w:r>
        <w:rPr>
          <w:rFonts w:ascii="Times New Roman" w:hAnsi="Times New Roman" w:cs="Times New Roman"/>
          <w:bCs/>
        </w:rPr>
        <w:t>Uu</w:t>
      </w:r>
      <w:proofErr w:type="spellEnd"/>
      <w:r>
        <w:rPr>
          <w:rFonts w:ascii="Times New Roman" w:hAnsi="Times New Roman" w:cs="Times New Roman"/>
          <w:bCs/>
        </w:rPr>
        <w:t xml:space="preserve"> based measurements) [RAN1]</w:t>
      </w:r>
    </w:p>
    <w:p w14:paraId="5017D075"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CA4FE2F" w14:textId="77777777" w:rsidR="00DC012D" w:rsidRDefault="00281552">
      <w:pPr>
        <w:numPr>
          <w:ilvl w:val="2"/>
          <w:numId w:val="3"/>
        </w:numPr>
        <w:jc w:val="both"/>
        <w:rPr>
          <w:rFonts w:ascii="Times New Roman" w:hAnsi="Times New Roman" w:cs="Times New Roman"/>
          <w:bCs/>
        </w:rPr>
      </w:pPr>
      <w:r>
        <w:rPr>
          <w:rFonts w:ascii="Times New Roman" w:hAnsi="Times New Roman" w:cs="Times New Roman"/>
          <w:bCs/>
        </w:rPr>
        <w:t>Study of positioning architecture and signalling procedures (</w:t>
      </w:r>
      <w:proofErr w:type="gramStart"/>
      <w:r>
        <w:rPr>
          <w:rFonts w:ascii="Times New Roman" w:hAnsi="Times New Roman" w:cs="Times New Roman"/>
          <w:bCs/>
        </w:rPr>
        <w:t>e.g.</w:t>
      </w:r>
      <w:proofErr w:type="gramEnd"/>
      <w:r>
        <w:rPr>
          <w:rFonts w:ascii="Times New Roman" w:hAnsi="Times New Roman" w:cs="Times New Roman"/>
          <w:bCs/>
        </w:rPr>
        <w:t xml:space="preserve"> configuration, measurement reporting, etc) to enable sidelink positioning covering both UE based and network based positioning [RAN2, including coordination and alignment with RAN3 and SA2 as required]</w:t>
      </w:r>
    </w:p>
    <w:p w14:paraId="20B81736" w14:textId="77777777" w:rsidR="00DC012D" w:rsidRDefault="00281552">
      <w:pPr>
        <w:numPr>
          <w:ilvl w:val="1"/>
          <w:numId w:val="3"/>
        </w:numPr>
        <w:jc w:val="both"/>
        <w:rPr>
          <w:rFonts w:ascii="Times New Roman" w:hAnsi="Times New Roman" w:cs="Times New Roman"/>
          <w:bCs/>
        </w:rPr>
      </w:pPr>
      <w:r>
        <w:rPr>
          <w:rFonts w:ascii="Times New Roman" w:hAnsi="Times New Roman" w:cs="Times New Roman"/>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515F26B1" w14:textId="77777777" w:rsidR="00DC012D" w:rsidRDefault="00DC012D">
      <w:pPr>
        <w:jc w:val="both"/>
        <w:rPr>
          <w:rFonts w:ascii="Times New Roman" w:hAnsi="Times New Roman" w:cs="Times New Roman"/>
          <w:bCs/>
        </w:rPr>
      </w:pPr>
    </w:p>
    <w:p w14:paraId="4A5C375B" w14:textId="77777777" w:rsidR="00DC012D" w:rsidRDefault="00281552">
      <w:pPr>
        <w:jc w:val="both"/>
        <w:rPr>
          <w:rFonts w:ascii="Times New Roman" w:hAnsi="Times New Roman" w:cs="Times New Roman"/>
          <w:bCs/>
        </w:rPr>
      </w:pPr>
      <w:r>
        <w:rPr>
          <w:rFonts w:ascii="Times New Roman" w:hAnsi="Times New Roman" w:cs="Times New Roman"/>
          <w:bCs/>
        </w:rPr>
        <w:lastRenderedPageBreak/>
        <w:t xml:space="preserve">This contribution provides our view on sidelink (SL) positioning scenarios and requirements to be considered for the study and eventually in Rel 18 standards. </w:t>
      </w:r>
    </w:p>
    <w:p w14:paraId="4EC47CD8" w14:textId="77777777" w:rsidR="00DC012D" w:rsidRDefault="00DC012D">
      <w:pPr>
        <w:jc w:val="both"/>
        <w:rPr>
          <w:rFonts w:ascii="Times New Roman" w:hAnsi="Times New Roman" w:cs="Times New Roman"/>
          <w:b/>
          <w:bCs/>
          <w:i/>
          <w:iCs/>
          <w:sz w:val="28"/>
          <w:szCs w:val="28"/>
        </w:rPr>
      </w:pPr>
    </w:p>
    <w:p w14:paraId="62F63BB0" w14:textId="77777777" w:rsidR="00DC012D" w:rsidRDefault="00281552">
      <w:pPr>
        <w:pStyle w:val="Heading3"/>
        <w:numPr>
          <w:ilvl w:val="2"/>
          <w:numId w:val="2"/>
        </w:numPr>
        <w:spacing w:before="0" w:after="0"/>
        <w:jc w:val="both"/>
        <w:rPr>
          <w:rFonts w:ascii="Times New Roman" w:hAnsi="Times New Roman" w:cs="Times New Roman"/>
          <w:szCs w:val="24"/>
        </w:rPr>
      </w:pPr>
      <w:r>
        <w:rPr>
          <w:rFonts w:ascii="Times New Roman" w:hAnsi="Times New Roman" w:cs="Times New Roman"/>
          <w:szCs w:val="24"/>
        </w:rPr>
        <w:t>Discussion:</w:t>
      </w:r>
    </w:p>
    <w:p w14:paraId="1B5CCB3F" w14:textId="77777777" w:rsidR="00DC012D" w:rsidRDefault="00DC012D">
      <w:pPr>
        <w:jc w:val="both"/>
        <w:rPr>
          <w:rFonts w:ascii="Times New Roman" w:hAnsi="Times New Roman" w:cs="Times New Roman"/>
          <w:b/>
          <w:bCs/>
        </w:rPr>
      </w:pPr>
    </w:p>
    <w:p w14:paraId="51EDF079" w14:textId="77777777" w:rsidR="00DC012D" w:rsidRDefault="00281552">
      <w:pPr>
        <w:pStyle w:val="ListParagraph"/>
        <w:numPr>
          <w:ilvl w:val="0"/>
          <w:numId w:val="6"/>
        </w:numPr>
        <w:jc w:val="both"/>
        <w:rPr>
          <w:rFonts w:ascii="Times New Roman" w:hAnsi="Times New Roman" w:cs="Times New Roman"/>
          <w:b/>
          <w:bCs/>
        </w:rPr>
      </w:pPr>
      <w:r>
        <w:rPr>
          <w:rFonts w:ascii="Times New Roman" w:hAnsi="Times New Roman" w:cs="Times New Roman"/>
          <w:b/>
          <w:bCs/>
        </w:rPr>
        <w:t>Use cases to be considered for sidelink positioning:</w:t>
      </w:r>
    </w:p>
    <w:p w14:paraId="302F41D4" w14:textId="77777777" w:rsidR="00DC012D" w:rsidRDefault="00DC012D">
      <w:pPr>
        <w:jc w:val="both"/>
        <w:rPr>
          <w:rFonts w:ascii="Times New Roman" w:hAnsi="Times New Roman" w:cs="Times New Roman"/>
          <w:b/>
          <w:bCs/>
        </w:rPr>
      </w:pPr>
    </w:p>
    <w:p w14:paraId="1FFD1CC3" w14:textId="77777777" w:rsidR="00DC012D" w:rsidRDefault="00281552">
      <w:pPr>
        <w:jc w:val="both"/>
        <w:rPr>
          <w:rFonts w:ascii="Times New Roman" w:hAnsi="Times New Roman" w:cs="Times New Roman"/>
        </w:rPr>
      </w:pPr>
      <w:r>
        <w:rPr>
          <w:rFonts w:ascii="Times New Roman" w:hAnsi="Times New Roman" w:cs="Times New Roman"/>
        </w:rPr>
        <w:t xml:space="preserve">In the 3GPP specification, detailed positioning requirements are studied for various use cases and presented in </w:t>
      </w:r>
      <w:r>
        <w:rPr>
          <w:rFonts w:ascii="Times New Roman" w:eastAsia="Malgun Gothic" w:hAnsi="Times New Roman" w:cs="Times New Roman"/>
        </w:rPr>
        <w:t xml:space="preserve">TS 22.261, TS 22.186, TS22.280 and TS22.104. TS 38.261, TS </w:t>
      </w:r>
      <w:proofErr w:type="gramStart"/>
      <w:r>
        <w:rPr>
          <w:rFonts w:ascii="Times New Roman" w:eastAsia="Malgun Gothic" w:hAnsi="Times New Roman" w:cs="Times New Roman"/>
        </w:rPr>
        <w:t>38.186</w:t>
      </w:r>
      <w:proofErr w:type="gramEnd"/>
      <w:r>
        <w:rPr>
          <w:rFonts w:ascii="Times New Roman" w:eastAsia="Malgun Gothic" w:hAnsi="Times New Roman" w:cs="Times New Roman"/>
        </w:rPr>
        <w:t xml:space="preserve"> and TR 38.845 provides the different use cases where positioning is important. These specifications provide requirements for the KIPs as accuracy, service availability, latency, coverage/service area, etc. </w:t>
      </w:r>
    </w:p>
    <w:p w14:paraId="4C4527E6" w14:textId="77777777" w:rsidR="00DC012D" w:rsidRDefault="00281552">
      <w:pPr>
        <w:jc w:val="both"/>
        <w:rPr>
          <w:rFonts w:ascii="Times New Roman" w:hAnsi="Times New Roman" w:cs="Times New Roman"/>
        </w:rPr>
      </w:pPr>
      <w:r>
        <w:rPr>
          <w:rFonts w:ascii="Times New Roman" w:eastAsia="Malgun Gothic" w:hAnsi="Times New Roman" w:cs="Times New Roman"/>
        </w:rPr>
        <w:t xml:space="preserve">Vehicle-to-Everything (V2X) promotes automated driving and enhances the traffic experience. The connection between cars, infrastructure, networks as well as pedestrians enables a much more efficient and safer transport system due to V2X. 5GAA in its TR [5] mentioned that positioning information is indispensable to V2X use cases, such as assisted driving, automated driving, traffic monitoring &amp; management, autonomous parking, etc. These positioning requirements change across different V2X use cases. It changes from a few metres level to sub-metre level. </w:t>
      </w:r>
    </w:p>
    <w:p w14:paraId="14189233" w14:textId="77777777" w:rsidR="00DC012D" w:rsidRDefault="00281552">
      <w:pPr>
        <w:jc w:val="both"/>
        <w:rPr>
          <w:rFonts w:ascii="Times New Roman" w:hAnsi="Times New Roman" w:cs="Times New Roman"/>
        </w:rPr>
      </w:pPr>
      <w:r>
        <w:rPr>
          <w:rFonts w:ascii="Times New Roman" w:eastAsia="Malgun Gothic" w:hAnsi="Times New Roman" w:cs="Times New Roman"/>
        </w:rPr>
        <w:t>TR 38.845 captures the detailed use cases and requirements related to V2X positioning and positioning for public safety.  This has created enough traction to include V2X related use cases in further enhancement of positioning solutions over sidelink. Similarly, TS 22.261 provides the use cases for the 1</w:t>
      </w:r>
      <w:r>
        <w:rPr>
          <w:rFonts w:ascii="Times New Roman" w:eastAsia="Malgun Gothic" w:hAnsi="Times New Roman" w:cs="Times New Roman"/>
          <w:vertAlign w:val="superscript"/>
        </w:rPr>
        <w:t>st</w:t>
      </w:r>
      <w:r>
        <w:rPr>
          <w:rFonts w:ascii="Times New Roman" w:eastAsia="Malgun Gothic" w:hAnsi="Times New Roman" w:cs="Times New Roman"/>
        </w:rPr>
        <w:t xml:space="preserve"> responders and requirements related to it. It is recommended that this service should be provided indoor and outdoor with few </w:t>
      </w:r>
      <w:proofErr w:type="gramStart"/>
      <w:r>
        <w:rPr>
          <w:rFonts w:ascii="Times New Roman" w:eastAsia="Malgun Gothic" w:hAnsi="Times New Roman" w:cs="Times New Roman"/>
        </w:rPr>
        <w:t>meter</w:t>
      </w:r>
      <w:proofErr w:type="gramEnd"/>
      <w:r>
        <w:rPr>
          <w:rFonts w:ascii="Times New Roman" w:eastAsia="Malgun Gothic" w:hAnsi="Times New Roman" w:cs="Times New Roman"/>
        </w:rPr>
        <w:t xml:space="preserve"> level accuracy. To get the required accuracy, </w:t>
      </w:r>
      <w:proofErr w:type="gramStart"/>
      <w:r>
        <w:rPr>
          <w:rFonts w:ascii="Times New Roman" w:eastAsia="Malgun Gothic" w:hAnsi="Times New Roman" w:cs="Times New Roman"/>
        </w:rPr>
        <w:t>latency</w:t>
      </w:r>
      <w:proofErr w:type="gramEnd"/>
      <w:r>
        <w:rPr>
          <w:rFonts w:ascii="Times New Roman" w:eastAsia="Malgun Gothic" w:hAnsi="Times New Roman" w:cs="Times New Roman"/>
        </w:rPr>
        <w:t xml:space="preserve"> and positioning coverage, it is necessary to consider public safety use cases in sidelink positioning solutions. In some of the factory environments getting LOS path is difficult. But to track the mobile devices as well as mobile assets is becoming increasingly critical to achieve metre to sub-metre level of accuracy in a factory environment. TS 22.104 provided sub-metre level accuracy requirements with 99 % availability with a max 30 Km/hr UE speed for future factory scenarios. To achieve this level of accuracy sidelink positioning is important where adjacent UEs will assist the target UE along with the gNBs installed inside the factory. Therefore, for such use case, positioning of target UE can be performed using </w:t>
      </w:r>
      <w:proofErr w:type="spellStart"/>
      <w:r>
        <w:rPr>
          <w:rFonts w:ascii="Times New Roman" w:eastAsia="Malgun Gothic" w:hAnsi="Times New Roman" w:cs="Times New Roman"/>
        </w:rPr>
        <w:t>Uu</w:t>
      </w:r>
      <w:proofErr w:type="spellEnd"/>
      <w:r>
        <w:rPr>
          <w:rFonts w:ascii="Times New Roman" w:eastAsia="Malgun Gothic" w:hAnsi="Times New Roman" w:cs="Times New Roman"/>
        </w:rPr>
        <w:t xml:space="preserve"> link as well as sidelink as co-operative localization.  </w:t>
      </w:r>
    </w:p>
    <w:p w14:paraId="0DAD7ABC" w14:textId="77777777" w:rsidR="00DC012D" w:rsidRDefault="00DC012D">
      <w:pPr>
        <w:jc w:val="both"/>
        <w:rPr>
          <w:rFonts w:ascii="Times New Roman" w:eastAsia="Malgun Gothic" w:hAnsi="Times New Roman" w:cs="Times New Roman"/>
        </w:rPr>
      </w:pPr>
    </w:p>
    <w:p w14:paraId="534A275B" w14:textId="77777777" w:rsidR="00DC012D" w:rsidRDefault="00281552">
      <w:pPr>
        <w:jc w:val="both"/>
        <w:rPr>
          <w:rFonts w:ascii="Times New Roman" w:hAnsi="Times New Roman" w:cs="Times New Roman"/>
        </w:rPr>
      </w:pPr>
      <w:r>
        <w:rPr>
          <w:rFonts w:ascii="Times New Roman" w:eastAsia="Malgun Gothic" w:hAnsi="Times New Roman" w:cs="Times New Roman"/>
          <w:b/>
          <w:bCs/>
        </w:rPr>
        <w:t xml:space="preserve">Proposal 1: </w:t>
      </w:r>
      <w:r>
        <w:rPr>
          <w:rFonts w:ascii="Times New Roman" w:eastAsia="Malgun Gothic" w:hAnsi="Times New Roman" w:cs="Times New Roman"/>
        </w:rPr>
        <w:t>Rel 18</w:t>
      </w:r>
      <w:r>
        <w:rPr>
          <w:rFonts w:ascii="Times New Roman" w:eastAsia="Malgun Gothic" w:hAnsi="Times New Roman" w:cs="Times New Roman"/>
          <w:b/>
          <w:bCs/>
        </w:rPr>
        <w:t xml:space="preserve"> s</w:t>
      </w:r>
      <w:r>
        <w:rPr>
          <w:rFonts w:ascii="Times New Roman" w:eastAsia="Malgun Gothic" w:hAnsi="Times New Roman" w:cs="Times New Roman"/>
        </w:rPr>
        <w:t xml:space="preserve">tudy should include V2X, public safety, and IIoT as target use cases and requirements should be derived considering them. </w:t>
      </w:r>
    </w:p>
    <w:p w14:paraId="5ED4BC94" w14:textId="77777777" w:rsidR="00DC012D" w:rsidRDefault="00DC012D">
      <w:pPr>
        <w:jc w:val="both"/>
        <w:rPr>
          <w:rFonts w:ascii="Times New Roman" w:eastAsia="Malgun Gothic" w:hAnsi="Times New Roman" w:cs="Times New Roman"/>
        </w:rPr>
      </w:pPr>
    </w:p>
    <w:p w14:paraId="22535089" w14:textId="77777777" w:rsidR="00DC012D" w:rsidRDefault="00281552">
      <w:pPr>
        <w:jc w:val="both"/>
        <w:rPr>
          <w:rFonts w:ascii="Times New Roman" w:hAnsi="Times New Roman" w:cs="Times New Roman"/>
        </w:rPr>
      </w:pPr>
      <w:r>
        <w:rPr>
          <w:rFonts w:ascii="Times New Roman" w:eastAsia="Malgun Gothic" w:hAnsi="Times New Roman" w:cs="Times New Roman"/>
        </w:rPr>
        <w:t>For V2X use case, three network scenarios are considered as per TR 38.845 [4] viz. in-coverage scenario where both communicating sidelink UEs are in coverage of network (connected to at least one gNB), partial coverage where one UE will be in the coverage and other UE will be out of coverage, and out-of-coverage scenario where both UEs are not connected to any network. It is found that partial coverage and out-of-coverage are equally important as the in-coverage scenarios for many V2X use cases. If V2X deployment is being operated on the ITS band, it will be considered an out-of-coverage scenario. Therefore, in Rel 18, all three scenarios should be considered for study and specification.</w:t>
      </w:r>
    </w:p>
    <w:p w14:paraId="71455848" w14:textId="77777777" w:rsidR="00DC012D" w:rsidRDefault="00DC012D">
      <w:pPr>
        <w:jc w:val="both"/>
        <w:rPr>
          <w:rFonts w:ascii="Times New Roman" w:eastAsia="Malgun Gothic" w:hAnsi="Times New Roman" w:cs="Times New Roman"/>
        </w:rPr>
      </w:pPr>
    </w:p>
    <w:p w14:paraId="0C58AB0F" w14:textId="77777777" w:rsidR="00DC012D" w:rsidRDefault="00281552">
      <w:pPr>
        <w:jc w:val="both"/>
        <w:rPr>
          <w:rFonts w:ascii="Times New Roman" w:hAnsi="Times New Roman" w:cs="Times New Roman"/>
        </w:rPr>
      </w:pPr>
      <w:r>
        <w:rPr>
          <w:rFonts w:ascii="Times New Roman" w:hAnsi="Times New Roman" w:cs="Times New Roman"/>
          <w:b/>
          <w:bCs/>
        </w:rPr>
        <w:t xml:space="preserve">Proposal 2: </w:t>
      </w:r>
      <w:r>
        <w:rPr>
          <w:rFonts w:ascii="Times New Roman" w:hAnsi="Times New Roman" w:cs="Times New Roman"/>
        </w:rPr>
        <w:t>In Rel 18,</w:t>
      </w:r>
      <w:r>
        <w:rPr>
          <w:rFonts w:ascii="Times New Roman" w:hAnsi="Times New Roman" w:cs="Times New Roman"/>
          <w:b/>
          <w:bCs/>
        </w:rPr>
        <w:t xml:space="preserve"> </w:t>
      </w:r>
      <w:r>
        <w:rPr>
          <w:rFonts w:ascii="Times New Roman" w:hAnsi="Times New Roman" w:cs="Times New Roman"/>
        </w:rPr>
        <w:t xml:space="preserve">in-coverage, partial coverage, and out-of-coverage scenarios should be considered for V2X and public safety use cases. </w:t>
      </w:r>
    </w:p>
    <w:p w14:paraId="40A71D50" w14:textId="77777777" w:rsidR="00DC012D" w:rsidRDefault="00DC012D">
      <w:pPr>
        <w:jc w:val="both"/>
        <w:rPr>
          <w:rFonts w:ascii="Times New Roman" w:eastAsia="Malgun Gothic" w:hAnsi="Times New Roman" w:cs="Times New Roman"/>
          <w:b/>
          <w:bCs/>
        </w:rPr>
      </w:pPr>
    </w:p>
    <w:p w14:paraId="661C6F1C" w14:textId="77777777" w:rsidR="00DC012D" w:rsidRDefault="00281552">
      <w:pPr>
        <w:pStyle w:val="ListParagraph"/>
        <w:numPr>
          <w:ilvl w:val="0"/>
          <w:numId w:val="6"/>
        </w:numPr>
        <w:jc w:val="both"/>
        <w:rPr>
          <w:rFonts w:ascii="Times New Roman" w:eastAsia="Malgun Gothic" w:hAnsi="Times New Roman" w:cs="Times New Roman"/>
          <w:b/>
          <w:bCs/>
        </w:rPr>
      </w:pPr>
      <w:r>
        <w:rPr>
          <w:rFonts w:ascii="Times New Roman" w:eastAsia="Malgun Gothic" w:hAnsi="Times New Roman" w:cs="Times New Roman"/>
          <w:b/>
          <w:bCs/>
        </w:rPr>
        <w:t>KPIs and requirements for use case:</w:t>
      </w:r>
    </w:p>
    <w:p w14:paraId="6BDF7856" w14:textId="77777777" w:rsidR="00DC012D" w:rsidRDefault="00DC012D">
      <w:pPr>
        <w:jc w:val="both"/>
        <w:rPr>
          <w:rFonts w:ascii="Times New Roman" w:eastAsia="Malgun Gothic" w:hAnsi="Times New Roman" w:cs="Times New Roman"/>
          <w:b/>
          <w:bCs/>
        </w:rPr>
      </w:pPr>
    </w:p>
    <w:p w14:paraId="77185C0C" w14:textId="224833BB" w:rsidR="00DC012D" w:rsidRDefault="00281552">
      <w:pPr>
        <w:jc w:val="both"/>
        <w:rPr>
          <w:rFonts w:ascii="Times New Roman" w:hAnsi="Times New Roman" w:cs="Times New Roman"/>
        </w:rPr>
      </w:pPr>
      <w:r>
        <w:rPr>
          <w:rFonts w:ascii="Times New Roman" w:eastAsia="Malgun Gothic" w:hAnsi="Times New Roman" w:cs="Times New Roman"/>
        </w:rPr>
        <w:t xml:space="preserve">Before deriving the solutions for positioning over sidelink it is necessary to set the key performance indices (KPI)s and requirements for selected KPIs for each use case. The following KPIs can be selected for sidelink positioning purposes. </w:t>
      </w:r>
    </w:p>
    <w:p w14:paraId="7C902C45" w14:textId="77777777" w:rsidR="00DC012D" w:rsidRDefault="00DC012D">
      <w:pPr>
        <w:jc w:val="both"/>
        <w:rPr>
          <w:rFonts w:ascii="Times New Roman" w:hAnsi="Times New Roman" w:cs="Times New Roman"/>
        </w:rPr>
      </w:pPr>
    </w:p>
    <w:p w14:paraId="41FF5345" w14:textId="77777777" w:rsidR="00DC012D" w:rsidRDefault="00281552">
      <w:pPr>
        <w:jc w:val="both"/>
        <w:rPr>
          <w:rFonts w:ascii="Times New Roman" w:hAnsi="Times New Roman" w:cs="Times New Roman"/>
        </w:rPr>
      </w:pPr>
      <w:r>
        <w:rPr>
          <w:rFonts w:ascii="Times New Roman" w:hAnsi="Times New Roman" w:cs="Times New Roman"/>
          <w:b/>
          <w:bCs/>
        </w:rPr>
        <w:lastRenderedPageBreak/>
        <w:t xml:space="preserve">Position accuracy: </w:t>
      </w:r>
      <w:r>
        <w:rPr>
          <w:rFonts w:ascii="Times New Roman" w:hAnsi="Times New Roman" w:cs="Times New Roman"/>
        </w:rPr>
        <w:t xml:space="preserve">The accuracy can be either of an absolute position or a relative position. It can be further derived into a horizontal position accuracy and into a vertical position accuracy. </w:t>
      </w:r>
    </w:p>
    <w:p w14:paraId="7B2A4FCF" w14:textId="77777777" w:rsidR="00DC012D" w:rsidRDefault="00DC012D">
      <w:pPr>
        <w:jc w:val="both"/>
        <w:rPr>
          <w:rFonts w:ascii="Times New Roman" w:hAnsi="Times New Roman" w:cs="Times New Roman"/>
          <w:b/>
          <w:bCs/>
        </w:rPr>
      </w:pPr>
    </w:p>
    <w:p w14:paraId="2144BEEC" w14:textId="77777777" w:rsidR="00DC012D" w:rsidRDefault="00281552">
      <w:pPr>
        <w:jc w:val="both"/>
        <w:rPr>
          <w:rFonts w:ascii="Times New Roman" w:hAnsi="Times New Roman" w:cs="Times New Roman"/>
          <w:b/>
          <w:bCs/>
        </w:rPr>
      </w:pPr>
      <w:r>
        <w:rPr>
          <w:rFonts w:ascii="Times New Roman" w:hAnsi="Times New Roman" w:cs="Times New Roman"/>
          <w:b/>
          <w:bCs/>
        </w:rPr>
        <w:t xml:space="preserve">Availability: </w:t>
      </w:r>
      <w:r>
        <w:rPr>
          <w:rFonts w:ascii="Times New Roman" w:hAnsi="Times New Roman" w:cs="Times New Roman"/>
        </w:rPr>
        <w:t xml:space="preserve">Percentage of time when a positioning system </w:t>
      </w:r>
      <w:proofErr w:type="gramStart"/>
      <w:r>
        <w:rPr>
          <w:rFonts w:ascii="Times New Roman" w:hAnsi="Times New Roman" w:cs="Times New Roman"/>
        </w:rPr>
        <w:t>is able to</w:t>
      </w:r>
      <w:proofErr w:type="gramEnd"/>
      <w:r>
        <w:rPr>
          <w:rFonts w:ascii="Times New Roman" w:hAnsi="Times New Roman" w:cs="Times New Roman"/>
        </w:rPr>
        <w:t xml:space="preserve"> provide the required position-related data within the performance targets or requirements.</w:t>
      </w:r>
    </w:p>
    <w:p w14:paraId="655D2DFD" w14:textId="77777777" w:rsidR="00DC012D" w:rsidRDefault="00DC012D">
      <w:pPr>
        <w:jc w:val="both"/>
        <w:rPr>
          <w:rFonts w:ascii="Times New Roman" w:hAnsi="Times New Roman" w:cs="Times New Roman"/>
        </w:rPr>
      </w:pPr>
    </w:p>
    <w:p w14:paraId="42BA1CF9" w14:textId="77777777" w:rsidR="00DC012D" w:rsidRDefault="00281552">
      <w:pPr>
        <w:jc w:val="both"/>
        <w:rPr>
          <w:rFonts w:ascii="Times New Roman" w:hAnsi="Times New Roman" w:cs="Times New Roman"/>
          <w:b/>
          <w:bCs/>
        </w:rPr>
      </w:pPr>
      <w:r>
        <w:rPr>
          <w:rFonts w:ascii="Times New Roman" w:hAnsi="Times New Roman" w:cs="Times New Roman"/>
          <w:b/>
          <w:bCs/>
        </w:rPr>
        <w:t xml:space="preserve">Latency: </w:t>
      </w:r>
      <w:r>
        <w:rPr>
          <w:rFonts w:ascii="Times New Roman" w:hAnsi="Times New Roman" w:cs="Times New Roman"/>
        </w:rPr>
        <w:t>Time elapsed between the event that triggers the determination of the position-related data and the availability of the position-related data at the positioning system interface. At the initialization of the positioning system, the latency is also defined as the ‘time to first fix’.</w:t>
      </w:r>
    </w:p>
    <w:p w14:paraId="78F66308" w14:textId="77777777" w:rsidR="00DC012D" w:rsidRDefault="00DC012D">
      <w:pPr>
        <w:jc w:val="both"/>
        <w:rPr>
          <w:rFonts w:ascii="Times New Roman" w:hAnsi="Times New Roman" w:cs="Times New Roman"/>
          <w:b/>
          <w:bCs/>
        </w:rPr>
      </w:pPr>
    </w:p>
    <w:p w14:paraId="1F421D4C" w14:textId="77777777" w:rsidR="00DC012D" w:rsidRDefault="00281552">
      <w:pPr>
        <w:jc w:val="both"/>
        <w:rPr>
          <w:rFonts w:ascii="Times New Roman" w:hAnsi="Times New Roman" w:cs="Times New Roman"/>
          <w:b/>
          <w:bCs/>
        </w:rPr>
      </w:pPr>
      <w:r>
        <w:rPr>
          <w:rFonts w:ascii="Times New Roman" w:hAnsi="Times New Roman" w:cs="Times New Roman"/>
          <w:b/>
          <w:bCs/>
        </w:rPr>
        <w:t xml:space="preserve">Time to first fix (TTFF): </w:t>
      </w:r>
      <w:r>
        <w:rPr>
          <w:rFonts w:ascii="Times New Roman" w:hAnsi="Times New Roman" w:cs="Times New Roman"/>
        </w:rPr>
        <w:t>Time elapsed between the first event triggering the determination of the position-related data and the availability of the position-related data at the positioning system interface. TTTF is greater or equal to latency.</w:t>
      </w:r>
    </w:p>
    <w:p w14:paraId="466ABBF5" w14:textId="77777777" w:rsidR="00DC012D" w:rsidRDefault="00DC012D">
      <w:pPr>
        <w:jc w:val="both"/>
        <w:rPr>
          <w:rFonts w:ascii="Times New Roman" w:hAnsi="Times New Roman" w:cs="Times New Roman"/>
          <w:b/>
          <w:bCs/>
        </w:rPr>
      </w:pPr>
    </w:p>
    <w:p w14:paraId="07B98D8F" w14:textId="77777777" w:rsidR="00DC012D" w:rsidRDefault="00281552">
      <w:pPr>
        <w:jc w:val="both"/>
        <w:rPr>
          <w:rFonts w:ascii="Times New Roman" w:hAnsi="Times New Roman" w:cs="Times New Roman"/>
          <w:b/>
          <w:bCs/>
        </w:rPr>
      </w:pPr>
      <w:r>
        <w:rPr>
          <w:rFonts w:ascii="Times New Roman" w:hAnsi="Times New Roman" w:cs="Times New Roman"/>
          <w:b/>
          <w:bCs/>
        </w:rPr>
        <w:t xml:space="preserve">Reliability: </w:t>
      </w:r>
      <w:r>
        <w:rPr>
          <w:rFonts w:ascii="Times New Roman" w:hAnsi="Times New Roman" w:cs="Times New Roman"/>
        </w:rPr>
        <w:t>It</w:t>
      </w:r>
      <w:r>
        <w:rPr>
          <w:rFonts w:ascii="Times New Roman" w:hAnsi="Times New Roman" w:cs="Times New Roman"/>
          <w:b/>
          <w:bCs/>
        </w:rPr>
        <w:t xml:space="preserve"> </w:t>
      </w:r>
      <w:r>
        <w:rPr>
          <w:rFonts w:ascii="Times New Roman" w:hAnsi="Times New Roman" w:cs="Times New Roman"/>
        </w:rPr>
        <w:t>measures the ability of a positioning system to provide the position-related data under stated conditions for a specified period.</w:t>
      </w:r>
    </w:p>
    <w:p w14:paraId="74785B79" w14:textId="77777777" w:rsidR="00DC012D" w:rsidRDefault="00DC012D">
      <w:pPr>
        <w:jc w:val="both"/>
        <w:rPr>
          <w:rFonts w:ascii="Times New Roman" w:hAnsi="Times New Roman" w:cs="Times New Roman"/>
          <w:b/>
          <w:bCs/>
        </w:rPr>
      </w:pPr>
    </w:p>
    <w:p w14:paraId="485A1775" w14:textId="77777777" w:rsidR="00DC012D" w:rsidRDefault="00281552">
      <w:pPr>
        <w:jc w:val="both"/>
        <w:rPr>
          <w:rFonts w:ascii="Times New Roman" w:hAnsi="Times New Roman" w:cs="Times New Roman"/>
          <w:b/>
          <w:bCs/>
        </w:rPr>
      </w:pPr>
      <w:r>
        <w:rPr>
          <w:rFonts w:ascii="Times New Roman" w:hAnsi="Times New Roman" w:cs="Times New Roman"/>
          <w:b/>
          <w:bCs/>
        </w:rPr>
        <w:t xml:space="preserve">Continuity: </w:t>
      </w:r>
      <w:r>
        <w:rPr>
          <w:rFonts w:ascii="Times New Roman" w:hAnsi="Times New Roman" w:cs="Times New Roman"/>
        </w:rPr>
        <w:t>It is the likelihood that the positioning system functionality will be available during the complete duration of the intended operation if the positioning system is functioning at the beginning of the operation.</w:t>
      </w:r>
    </w:p>
    <w:p w14:paraId="4342CFED" w14:textId="77777777" w:rsidR="00DC012D" w:rsidRDefault="00DC012D">
      <w:pPr>
        <w:jc w:val="both"/>
        <w:rPr>
          <w:rFonts w:ascii="Times New Roman" w:hAnsi="Times New Roman" w:cs="Times New Roman"/>
          <w:b/>
          <w:bCs/>
        </w:rPr>
      </w:pPr>
    </w:p>
    <w:p w14:paraId="752F8A91" w14:textId="77777777" w:rsidR="00DC012D" w:rsidRDefault="00281552">
      <w:pPr>
        <w:jc w:val="both"/>
        <w:rPr>
          <w:rFonts w:ascii="Times New Roman" w:hAnsi="Times New Roman" w:cs="Times New Roman"/>
          <w:b/>
          <w:bCs/>
        </w:rPr>
      </w:pPr>
      <w:r>
        <w:rPr>
          <w:rFonts w:ascii="Times New Roman" w:hAnsi="Times New Roman" w:cs="Times New Roman"/>
          <w:b/>
          <w:bCs/>
        </w:rPr>
        <w:t xml:space="preserve">Integrity: </w:t>
      </w:r>
      <w:r>
        <w:rPr>
          <w:rFonts w:ascii="Times New Roman" w:hAnsi="Times New Roman" w:cs="Times New Roman"/>
        </w:rPr>
        <w:t xml:space="preserve">It measures the trust in the accuracy of the position-related data provided by the positioning system and the ability to provide timely and valid warnings to the UE and/or the user when the positioning system does not </w:t>
      </w:r>
      <w:proofErr w:type="spellStart"/>
      <w:r>
        <w:rPr>
          <w:rFonts w:ascii="Times New Roman" w:hAnsi="Times New Roman" w:cs="Times New Roman"/>
        </w:rPr>
        <w:t>fulfill</w:t>
      </w:r>
      <w:proofErr w:type="spellEnd"/>
      <w:r>
        <w:rPr>
          <w:rFonts w:ascii="Times New Roman" w:hAnsi="Times New Roman" w:cs="Times New Roman"/>
        </w:rPr>
        <w:t xml:space="preserve"> the condition for the intended operation.</w:t>
      </w:r>
    </w:p>
    <w:p w14:paraId="3BE3C3DA" w14:textId="77777777" w:rsidR="00DC012D" w:rsidRDefault="00DC012D">
      <w:pPr>
        <w:jc w:val="both"/>
        <w:rPr>
          <w:rFonts w:ascii="Times New Roman" w:hAnsi="Times New Roman" w:cs="Times New Roman"/>
          <w:i/>
          <w:iCs/>
        </w:rPr>
      </w:pPr>
    </w:p>
    <w:p w14:paraId="2BDD60AE" w14:textId="77777777" w:rsidR="00DC012D" w:rsidRDefault="00281552">
      <w:pPr>
        <w:jc w:val="both"/>
        <w:rPr>
          <w:rFonts w:ascii="Times New Roman" w:hAnsi="Times New Roman" w:cs="Times New Roman"/>
          <w:b/>
          <w:bCs/>
        </w:rPr>
      </w:pPr>
      <w:r>
        <w:rPr>
          <w:rFonts w:ascii="Times New Roman" w:hAnsi="Times New Roman" w:cs="Times New Roman"/>
          <w:b/>
          <w:bCs/>
        </w:rPr>
        <w:t xml:space="preserve">Positioning Coverage Improvement: </w:t>
      </w:r>
      <w:r>
        <w:rPr>
          <w:rFonts w:ascii="Times New Roman" w:hAnsi="Times New Roman" w:cs="Times New Roman"/>
        </w:rPr>
        <w:t xml:space="preserve">It is the measurement of average additional links/nodes which can be brought under positioning coverage using sidelink positioning. It can measure the links which are in partial coverage and out of coverage whose position can be estimated using sidelink which is otherwise not able to localize using </w:t>
      </w:r>
      <w:proofErr w:type="spellStart"/>
      <w:r>
        <w:rPr>
          <w:rFonts w:ascii="Times New Roman" w:hAnsi="Times New Roman" w:cs="Times New Roman"/>
        </w:rPr>
        <w:t>Uu</w:t>
      </w:r>
      <w:proofErr w:type="spellEnd"/>
      <w:r>
        <w:rPr>
          <w:rFonts w:ascii="Times New Roman" w:hAnsi="Times New Roman" w:cs="Times New Roman"/>
        </w:rPr>
        <w:t xml:space="preserve"> link only. </w:t>
      </w:r>
    </w:p>
    <w:p w14:paraId="66D2CEEC" w14:textId="77777777" w:rsidR="00DC012D" w:rsidRDefault="00DC012D">
      <w:pPr>
        <w:jc w:val="both"/>
        <w:rPr>
          <w:rFonts w:ascii="Times New Roman" w:hAnsi="Times New Roman" w:cs="Times New Roman"/>
          <w:b/>
          <w:bCs/>
          <w:i/>
          <w:iCs/>
        </w:rPr>
      </w:pPr>
    </w:p>
    <w:p w14:paraId="40591A29" w14:textId="77777777" w:rsidR="00DC012D" w:rsidRDefault="00281552">
      <w:pPr>
        <w:jc w:val="both"/>
        <w:rPr>
          <w:rFonts w:ascii="Times New Roman" w:hAnsi="Times New Roman" w:cs="Times New Roman"/>
        </w:rPr>
      </w:pPr>
      <w:r>
        <w:rPr>
          <w:rFonts w:ascii="Times New Roman" w:hAnsi="Times New Roman" w:cs="Times New Roman"/>
        </w:rPr>
        <w:t>For use case V2X, public safety, and V2X, we can agree upon the following table as requirements for respective KPI.  The table provides tentative values which can be deliberated in the meeting for finalization for evaluation purposes.</w:t>
      </w:r>
    </w:p>
    <w:p w14:paraId="354D7C59" w14:textId="77777777" w:rsidR="00DC012D" w:rsidRDefault="00DC012D">
      <w:pPr>
        <w:jc w:val="both"/>
        <w:rPr>
          <w:rFonts w:ascii="Times New Roman" w:hAnsi="Times New Roman" w:cs="Times New Roman"/>
        </w:rPr>
      </w:pPr>
    </w:p>
    <w:p w14:paraId="78A839EC" w14:textId="3848A451" w:rsidR="00DC012D" w:rsidRDefault="00281552">
      <w:pPr>
        <w:jc w:val="both"/>
        <w:rPr>
          <w:rFonts w:ascii="Times New Roman" w:hAnsi="Times New Roman" w:cs="Times New Roman"/>
        </w:rPr>
      </w:pPr>
      <w:r>
        <w:rPr>
          <w:rFonts w:ascii="Times New Roman" w:hAnsi="Times New Roman" w:cs="Times New Roman"/>
          <w:b/>
          <w:bCs/>
        </w:rPr>
        <w:t>Proposal 3:</w:t>
      </w:r>
      <w:r>
        <w:rPr>
          <w:rFonts w:ascii="Times New Roman" w:hAnsi="Times New Roman" w:cs="Times New Roman"/>
        </w:rPr>
        <w:t xml:space="preserve"> Positioning accuracy availability, latency, TTFF, reliability, continuity, </w:t>
      </w:r>
      <w:r w:rsidR="00853383">
        <w:rPr>
          <w:rFonts w:ascii="Times New Roman" w:hAnsi="Times New Roman" w:cs="Times New Roman"/>
        </w:rPr>
        <w:t>integrity,</w:t>
      </w:r>
      <w:r>
        <w:rPr>
          <w:rFonts w:ascii="Times New Roman" w:hAnsi="Times New Roman" w:cs="Times New Roman"/>
        </w:rPr>
        <w:t xml:space="preserve"> and positioning coverage improvement should be the set of KPIs for partial and out of coverage scenarios.</w:t>
      </w:r>
    </w:p>
    <w:p w14:paraId="68C2F989" w14:textId="77777777" w:rsidR="00DC012D" w:rsidRDefault="00DC012D">
      <w:pPr>
        <w:jc w:val="both"/>
        <w:rPr>
          <w:rFonts w:ascii="Times New Roman" w:hAnsi="Times New Roman" w:cs="Times New Roman"/>
          <w:i/>
          <w:iCs/>
        </w:rPr>
      </w:pPr>
    </w:p>
    <w:p w14:paraId="1AEBDEB4" w14:textId="77777777" w:rsidR="00DC012D" w:rsidRDefault="00281552">
      <w:pPr>
        <w:jc w:val="both"/>
        <w:rPr>
          <w:rFonts w:ascii="Times New Roman" w:hAnsi="Times New Roman" w:cs="Times New Roman"/>
        </w:rPr>
      </w:pPr>
      <w:r>
        <w:rPr>
          <w:rFonts w:ascii="Times New Roman" w:hAnsi="Times New Roman" w:cs="Times New Roman"/>
          <w:b/>
          <w:bCs/>
        </w:rPr>
        <w:t>Proposal 4:</w:t>
      </w:r>
      <w:r>
        <w:rPr>
          <w:rFonts w:ascii="Times New Roman" w:hAnsi="Times New Roman" w:cs="Times New Roman"/>
        </w:rPr>
        <w:t xml:space="preserve"> In the release 18 study, the following table should be agreed upon as a requirement set for different use cases.</w:t>
      </w:r>
    </w:p>
    <w:p w14:paraId="65CB6260" w14:textId="77777777" w:rsidR="00DC012D" w:rsidRDefault="00DC012D">
      <w:pPr>
        <w:jc w:val="both"/>
        <w:rPr>
          <w:rFonts w:ascii="Times New Roman" w:hAnsi="Times New Roman" w:cs="Times New Roman"/>
        </w:rPr>
      </w:pPr>
    </w:p>
    <w:p w14:paraId="4689E58D" w14:textId="77777777" w:rsidR="00DC012D" w:rsidRDefault="00DC012D">
      <w:pPr>
        <w:jc w:val="both"/>
        <w:rPr>
          <w:rFonts w:ascii="Times New Roman" w:hAnsi="Times New Roman" w:cs="Times New Roman"/>
          <w:b/>
          <w:bCs/>
          <w:i/>
          <w:iCs/>
        </w:rPr>
      </w:pPr>
    </w:p>
    <w:tbl>
      <w:tblPr>
        <w:tblStyle w:val="GridTable1Light-Accent6"/>
        <w:tblW w:w="9638" w:type="dxa"/>
        <w:tblLook w:val="04A0" w:firstRow="1" w:lastRow="0" w:firstColumn="1" w:lastColumn="0" w:noHBand="0" w:noVBand="1"/>
      </w:tblPr>
      <w:tblGrid>
        <w:gridCol w:w="2410"/>
        <w:gridCol w:w="1143"/>
        <w:gridCol w:w="1231"/>
        <w:gridCol w:w="1230"/>
        <w:gridCol w:w="1229"/>
        <w:gridCol w:w="1198"/>
        <w:gridCol w:w="1197"/>
      </w:tblGrid>
      <w:tr w:rsidR="00DC012D" w14:paraId="00786D54" w14:textId="77777777" w:rsidTr="00DC01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7" w:type="dxa"/>
            <w:gridSpan w:val="7"/>
            <w:tcBorders>
              <w:bottom w:val="single" w:sz="12" w:space="0" w:color="A8D08D"/>
            </w:tcBorders>
          </w:tcPr>
          <w:p w14:paraId="3338228C" w14:textId="77777777" w:rsidR="00DC012D" w:rsidRDefault="00281552">
            <w:pPr>
              <w:jc w:val="center"/>
              <w:rPr>
                <w:rFonts w:ascii="Times New Roman" w:hAnsi="Times New Roman" w:cs="Times New Roman"/>
              </w:rPr>
            </w:pPr>
            <w:r>
              <w:rPr>
                <w:rFonts w:ascii="Times New Roman" w:hAnsi="Times New Roman" w:cs="Times New Roman"/>
              </w:rPr>
              <w:t>Use cases</w:t>
            </w:r>
          </w:p>
          <w:p w14:paraId="0B9223EA" w14:textId="77777777" w:rsidR="00DC012D" w:rsidRDefault="00DC012D">
            <w:pPr>
              <w:pStyle w:val="TableContents"/>
              <w:rPr>
                <w:rFonts w:ascii="Times New Roman" w:hAnsi="Times New Roman" w:cs="Times New Roman"/>
              </w:rPr>
            </w:pPr>
          </w:p>
        </w:tc>
      </w:tr>
      <w:tr w:rsidR="00DC012D" w14:paraId="5D97DFA3"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2706CE2A" w14:textId="77777777" w:rsidR="00DC012D" w:rsidRDefault="00DC012D">
            <w:pPr>
              <w:pStyle w:val="TableContents"/>
              <w:rPr>
                <w:rFonts w:ascii="Times New Roman" w:hAnsi="Times New Roman" w:cs="Times New Roman"/>
              </w:rPr>
            </w:pPr>
          </w:p>
        </w:tc>
        <w:tc>
          <w:tcPr>
            <w:tcW w:w="3604" w:type="dxa"/>
            <w:gridSpan w:val="3"/>
          </w:tcPr>
          <w:p w14:paraId="4B1FDFE6"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V2X</w:t>
            </w:r>
          </w:p>
        </w:tc>
        <w:tc>
          <w:tcPr>
            <w:tcW w:w="1229" w:type="dxa"/>
          </w:tcPr>
          <w:p w14:paraId="20DD5A34"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Public safety</w:t>
            </w:r>
          </w:p>
        </w:tc>
        <w:tc>
          <w:tcPr>
            <w:tcW w:w="2395" w:type="dxa"/>
            <w:gridSpan w:val="2"/>
          </w:tcPr>
          <w:p w14:paraId="66DA3E60"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IIoT</w:t>
            </w:r>
          </w:p>
        </w:tc>
      </w:tr>
      <w:tr w:rsidR="00DC012D" w14:paraId="574981DD"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266B463C" w14:textId="77777777" w:rsidR="00DC012D" w:rsidRDefault="00DC012D">
            <w:pPr>
              <w:rPr>
                <w:rFonts w:ascii="Times New Roman" w:hAnsi="Times New Roman" w:cs="Times New Roman"/>
              </w:rPr>
            </w:pPr>
          </w:p>
        </w:tc>
        <w:tc>
          <w:tcPr>
            <w:tcW w:w="1143" w:type="dxa"/>
          </w:tcPr>
          <w:p w14:paraId="7C72335A" w14:textId="77777777" w:rsidR="00DC012D" w:rsidRPr="00853383"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1</w:t>
            </w:r>
          </w:p>
        </w:tc>
        <w:tc>
          <w:tcPr>
            <w:tcW w:w="1231" w:type="dxa"/>
          </w:tcPr>
          <w:p w14:paraId="4428EF71" w14:textId="77777777" w:rsidR="00DC012D" w:rsidRPr="00853383"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2</w:t>
            </w:r>
          </w:p>
        </w:tc>
        <w:tc>
          <w:tcPr>
            <w:tcW w:w="1230" w:type="dxa"/>
          </w:tcPr>
          <w:p w14:paraId="7176A3AE" w14:textId="77777777" w:rsidR="00DC012D" w:rsidRPr="00853383"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3</w:t>
            </w:r>
          </w:p>
        </w:tc>
        <w:tc>
          <w:tcPr>
            <w:tcW w:w="1229" w:type="dxa"/>
          </w:tcPr>
          <w:p w14:paraId="6F723E0C"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98" w:type="dxa"/>
          </w:tcPr>
          <w:p w14:paraId="0CC34BAC" w14:textId="77777777" w:rsidR="00DC012D" w:rsidRPr="00853383"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1</w:t>
            </w:r>
          </w:p>
        </w:tc>
        <w:tc>
          <w:tcPr>
            <w:tcW w:w="1197" w:type="dxa"/>
          </w:tcPr>
          <w:p w14:paraId="3B3ABBF5" w14:textId="77777777" w:rsidR="00DC012D" w:rsidRPr="00853383"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2</w:t>
            </w:r>
          </w:p>
        </w:tc>
      </w:tr>
      <w:tr w:rsidR="00DC012D" w14:paraId="0306A7E3"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3A07EFA6" w14:textId="77777777" w:rsidR="00DC012D" w:rsidRDefault="00281552">
            <w:pPr>
              <w:rPr>
                <w:rFonts w:ascii="Times New Roman" w:hAnsi="Times New Roman" w:cs="Times New Roman"/>
              </w:rPr>
            </w:pPr>
            <w:r>
              <w:rPr>
                <w:rFonts w:ascii="Times New Roman" w:hAnsi="Times New Roman" w:cs="Times New Roman"/>
              </w:rPr>
              <w:t>Absolute/Relative</w:t>
            </w:r>
          </w:p>
        </w:tc>
        <w:tc>
          <w:tcPr>
            <w:tcW w:w="1143" w:type="dxa"/>
          </w:tcPr>
          <w:p w14:paraId="5D81908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231" w:type="dxa"/>
          </w:tcPr>
          <w:p w14:paraId="4E91F04B"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230" w:type="dxa"/>
          </w:tcPr>
          <w:p w14:paraId="4FBC4D0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229" w:type="dxa"/>
          </w:tcPr>
          <w:p w14:paraId="05E2FE73"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98" w:type="dxa"/>
          </w:tcPr>
          <w:p w14:paraId="70484882"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97" w:type="dxa"/>
          </w:tcPr>
          <w:p w14:paraId="20128F0D"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r>
      <w:tr w:rsidR="00DC012D" w14:paraId="4F651F45"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316371DA" w14:textId="77777777" w:rsidR="00DC012D" w:rsidRDefault="00281552">
            <w:pPr>
              <w:pStyle w:val="TableContents"/>
              <w:rPr>
                <w:rFonts w:ascii="Times New Roman" w:hAnsi="Times New Roman" w:cs="Times New Roman"/>
              </w:rPr>
            </w:pPr>
            <w:r>
              <w:rPr>
                <w:rFonts w:ascii="Times New Roman" w:hAnsi="Times New Roman" w:cs="Times New Roman"/>
              </w:rPr>
              <w:t>Scenarios</w:t>
            </w:r>
          </w:p>
        </w:tc>
        <w:tc>
          <w:tcPr>
            <w:tcW w:w="1143" w:type="dxa"/>
          </w:tcPr>
          <w:p w14:paraId="4F138F7D"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coverage, partial coverage,  </w:t>
            </w:r>
          </w:p>
          <w:p w14:paraId="3C749058"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out of coverage</w:t>
            </w:r>
          </w:p>
        </w:tc>
        <w:tc>
          <w:tcPr>
            <w:tcW w:w="1231" w:type="dxa"/>
          </w:tcPr>
          <w:p w14:paraId="5ED242F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In coverage, partial coverage,  </w:t>
            </w:r>
          </w:p>
          <w:p w14:paraId="435F735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out of coverage</w:t>
            </w:r>
          </w:p>
        </w:tc>
        <w:tc>
          <w:tcPr>
            <w:tcW w:w="1230" w:type="dxa"/>
          </w:tcPr>
          <w:p w14:paraId="3FD7BAC0"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In coverage, partial coverage,  </w:t>
            </w:r>
          </w:p>
          <w:p w14:paraId="522426CC"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out of coverage</w:t>
            </w:r>
          </w:p>
        </w:tc>
        <w:tc>
          <w:tcPr>
            <w:tcW w:w="1229" w:type="dxa"/>
          </w:tcPr>
          <w:p w14:paraId="4FF15226"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In coverage, partial coverage,  </w:t>
            </w:r>
          </w:p>
          <w:p w14:paraId="77E9672D"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out of coverage</w:t>
            </w:r>
          </w:p>
        </w:tc>
        <w:tc>
          <w:tcPr>
            <w:tcW w:w="1198" w:type="dxa"/>
          </w:tcPr>
          <w:p w14:paraId="50280E5A"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In coverage</w:t>
            </w:r>
          </w:p>
        </w:tc>
        <w:tc>
          <w:tcPr>
            <w:tcW w:w="1197" w:type="dxa"/>
          </w:tcPr>
          <w:p w14:paraId="2BBB66D7"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 coverage</w:t>
            </w:r>
          </w:p>
        </w:tc>
      </w:tr>
      <w:tr w:rsidR="00DC012D" w14:paraId="440E97D8"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756D79BF" w14:textId="77777777" w:rsidR="00DC012D" w:rsidRDefault="00281552">
            <w:pPr>
              <w:pStyle w:val="TableContents"/>
              <w:rPr>
                <w:rFonts w:ascii="Times New Roman" w:hAnsi="Times New Roman" w:cs="Times New Roman"/>
              </w:rPr>
            </w:pPr>
            <w:r>
              <w:rPr>
                <w:rFonts w:ascii="Times New Roman" w:hAnsi="Times New Roman" w:cs="Times New Roman"/>
              </w:rPr>
              <w:t>Speed (km/hr)</w:t>
            </w:r>
          </w:p>
        </w:tc>
        <w:tc>
          <w:tcPr>
            <w:tcW w:w="1143" w:type="dxa"/>
          </w:tcPr>
          <w:p w14:paraId="03E492DF"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231" w:type="dxa"/>
          </w:tcPr>
          <w:p w14:paraId="72E31980"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230" w:type="dxa"/>
          </w:tcPr>
          <w:p w14:paraId="0D562EF3"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229" w:type="dxa"/>
          </w:tcPr>
          <w:p w14:paraId="3E53E609"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w:t>
            </w:r>
          </w:p>
        </w:tc>
        <w:tc>
          <w:tcPr>
            <w:tcW w:w="1198" w:type="dxa"/>
          </w:tcPr>
          <w:p w14:paraId="33ACC53B"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3-30</w:t>
            </w:r>
          </w:p>
        </w:tc>
        <w:tc>
          <w:tcPr>
            <w:tcW w:w="1197" w:type="dxa"/>
          </w:tcPr>
          <w:p w14:paraId="061739BC"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3-30</w:t>
            </w:r>
          </w:p>
        </w:tc>
      </w:tr>
      <w:tr w:rsidR="00DC012D" w14:paraId="5207B202" w14:textId="77777777" w:rsidTr="00DC012D">
        <w:trPr>
          <w:trHeight w:val="741"/>
        </w:trPr>
        <w:tc>
          <w:tcPr>
            <w:cnfStyle w:val="001000000000" w:firstRow="0" w:lastRow="0" w:firstColumn="1" w:lastColumn="0" w:oddVBand="0" w:evenVBand="0" w:oddHBand="0" w:evenHBand="0" w:firstRowFirstColumn="0" w:firstRowLastColumn="0" w:lastRowFirstColumn="0" w:lastRowLastColumn="0"/>
            <w:tcW w:w="2409" w:type="dxa"/>
          </w:tcPr>
          <w:p w14:paraId="7EE41C4C" w14:textId="77777777" w:rsidR="00DC012D" w:rsidRDefault="00281552">
            <w:pPr>
              <w:pStyle w:val="TableContents"/>
              <w:rPr>
                <w:rFonts w:ascii="Times New Roman" w:hAnsi="Times New Roman" w:cs="Times New Roman"/>
              </w:rPr>
            </w:pPr>
            <w:r>
              <w:rPr>
                <w:rFonts w:ascii="Times New Roman" w:hAnsi="Times New Roman" w:cs="Times New Roman"/>
              </w:rPr>
              <w:t>Accuracy (H-Horizontal V-Vertical)</w:t>
            </w:r>
          </w:p>
        </w:tc>
        <w:tc>
          <w:tcPr>
            <w:tcW w:w="1143" w:type="dxa"/>
          </w:tcPr>
          <w:p w14:paraId="101E7FDB"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&lt;50 H, &lt;3m V</w:t>
            </w:r>
          </w:p>
          <w:p w14:paraId="7D1BABED"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31" w:type="dxa"/>
          </w:tcPr>
          <w:p w14:paraId="299FAC38"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&lt;1.5m H &lt;2m V</w:t>
            </w:r>
          </w:p>
          <w:p w14:paraId="6D9EA367"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30" w:type="dxa"/>
          </w:tcPr>
          <w:p w14:paraId="79EF960F"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&lt;0.2m H &lt;2m V</w:t>
            </w:r>
          </w:p>
          <w:p w14:paraId="775CB029"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29" w:type="dxa"/>
          </w:tcPr>
          <w:p w14:paraId="39DF18B2"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&lt;1m H, 2m V</w:t>
            </w:r>
          </w:p>
          <w:p w14:paraId="3EC32B9F"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98" w:type="dxa"/>
          </w:tcPr>
          <w:p w14:paraId="606D4D20"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&lt;1m H</w:t>
            </w:r>
          </w:p>
          <w:p w14:paraId="5C34A0B6"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97" w:type="dxa"/>
          </w:tcPr>
          <w:p w14:paraId="6A064905" w14:textId="77777777" w:rsidR="00DC012D" w:rsidRDefault="0028155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&lt;30cm</w:t>
            </w:r>
          </w:p>
          <w:p w14:paraId="0E2C3C08" w14:textId="77777777" w:rsidR="00DC012D" w:rsidRDefault="00DC012D">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DC012D" w14:paraId="2A172381"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0C44CBEC" w14:textId="77777777" w:rsidR="00DC012D" w:rsidRDefault="00281552">
            <w:pPr>
              <w:pStyle w:val="TableContents"/>
              <w:rPr>
                <w:rFonts w:ascii="Times New Roman" w:hAnsi="Times New Roman" w:cs="Times New Roman"/>
              </w:rPr>
            </w:pPr>
            <w:r>
              <w:rPr>
                <w:rFonts w:ascii="Times New Roman" w:hAnsi="Times New Roman" w:cs="Times New Roman"/>
              </w:rPr>
              <w:t>Latency</w:t>
            </w:r>
          </w:p>
        </w:tc>
        <w:tc>
          <w:tcPr>
            <w:tcW w:w="1143" w:type="dxa"/>
          </w:tcPr>
          <w:p w14:paraId="464FE45E"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10</w:t>
            </w:r>
          </w:p>
        </w:tc>
        <w:tc>
          <w:tcPr>
            <w:tcW w:w="1231" w:type="dxa"/>
          </w:tcPr>
          <w:p w14:paraId="01F8B68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c>
          <w:tcPr>
            <w:tcW w:w="1230" w:type="dxa"/>
          </w:tcPr>
          <w:p w14:paraId="3D7E29DC"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c>
          <w:tcPr>
            <w:tcW w:w="1229" w:type="dxa"/>
          </w:tcPr>
          <w:p w14:paraId="2C18C33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98" w:type="dxa"/>
          </w:tcPr>
          <w:p w14:paraId="4D056A0C"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97" w:type="dxa"/>
          </w:tcPr>
          <w:p w14:paraId="63C22520"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r>
      <w:tr w:rsidR="00DC012D" w14:paraId="12D8E07B"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54B9CE66" w14:textId="77777777" w:rsidR="00DC012D" w:rsidRDefault="00281552">
            <w:pPr>
              <w:rPr>
                <w:rFonts w:ascii="Times New Roman" w:hAnsi="Times New Roman" w:cs="Times New Roman"/>
              </w:rPr>
            </w:pPr>
            <w:r>
              <w:rPr>
                <w:rFonts w:ascii="Times New Roman" w:hAnsi="Times New Roman" w:cs="Times New Roman"/>
              </w:rPr>
              <w:t>Availability</w:t>
            </w:r>
          </w:p>
        </w:tc>
        <w:tc>
          <w:tcPr>
            <w:tcW w:w="1143" w:type="dxa"/>
          </w:tcPr>
          <w:p w14:paraId="77300448"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95</w:t>
            </w:r>
          </w:p>
        </w:tc>
        <w:tc>
          <w:tcPr>
            <w:tcW w:w="1231" w:type="dxa"/>
          </w:tcPr>
          <w:p w14:paraId="08212736"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c>
          <w:tcPr>
            <w:tcW w:w="1230" w:type="dxa"/>
          </w:tcPr>
          <w:p w14:paraId="7AE9E93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c>
          <w:tcPr>
            <w:tcW w:w="1229" w:type="dxa"/>
          </w:tcPr>
          <w:p w14:paraId="7AA45EA2"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98</w:t>
            </w:r>
          </w:p>
        </w:tc>
        <w:tc>
          <w:tcPr>
            <w:tcW w:w="1198" w:type="dxa"/>
          </w:tcPr>
          <w:p w14:paraId="0ECF58AD"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90</w:t>
            </w:r>
          </w:p>
        </w:tc>
        <w:tc>
          <w:tcPr>
            <w:tcW w:w="1197" w:type="dxa"/>
          </w:tcPr>
          <w:p w14:paraId="4389A702"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r>
      <w:tr w:rsidR="00DC012D" w14:paraId="021EF447"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25287F9D" w14:textId="77777777" w:rsidR="00DC012D" w:rsidRDefault="00281552">
            <w:pPr>
              <w:rPr>
                <w:rFonts w:ascii="Times New Roman" w:hAnsi="Times New Roman" w:cs="Times New Roman"/>
              </w:rPr>
            </w:pPr>
            <w:r>
              <w:rPr>
                <w:rFonts w:ascii="Times New Roman" w:hAnsi="Times New Roman" w:cs="Times New Roman"/>
              </w:rPr>
              <w:t>TTFF</w:t>
            </w:r>
          </w:p>
        </w:tc>
        <w:tc>
          <w:tcPr>
            <w:tcW w:w="1143" w:type="dxa"/>
          </w:tcPr>
          <w:p w14:paraId="1DB474F7"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31" w:type="dxa"/>
          </w:tcPr>
          <w:p w14:paraId="2EF7F3C9"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30" w:type="dxa"/>
          </w:tcPr>
          <w:p w14:paraId="7950278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29" w:type="dxa"/>
          </w:tcPr>
          <w:p w14:paraId="130876A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98" w:type="dxa"/>
          </w:tcPr>
          <w:p w14:paraId="46BBAE38"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97" w:type="dxa"/>
          </w:tcPr>
          <w:p w14:paraId="291768DF"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r>
      <w:tr w:rsidR="00DC012D" w14:paraId="76706F7B" w14:textId="77777777" w:rsidTr="00DC012D">
        <w:tc>
          <w:tcPr>
            <w:cnfStyle w:val="001000000000" w:firstRow="0" w:lastRow="0" w:firstColumn="1" w:lastColumn="0" w:oddVBand="0" w:evenVBand="0" w:oddHBand="0" w:evenHBand="0" w:firstRowFirstColumn="0" w:firstRowLastColumn="0" w:lastRowFirstColumn="0" w:lastRowLastColumn="0"/>
            <w:tcW w:w="2409" w:type="dxa"/>
          </w:tcPr>
          <w:p w14:paraId="788E0348" w14:textId="77777777" w:rsidR="00DC012D" w:rsidRDefault="00281552">
            <w:pPr>
              <w:rPr>
                <w:rFonts w:ascii="Times New Roman" w:hAnsi="Times New Roman" w:cs="Times New Roman"/>
              </w:rPr>
            </w:pPr>
            <w:r>
              <w:rPr>
                <w:rFonts w:ascii="Times New Roman" w:hAnsi="Times New Roman" w:cs="Times New Roman"/>
              </w:rPr>
              <w:t>Reliability</w:t>
            </w:r>
          </w:p>
        </w:tc>
        <w:tc>
          <w:tcPr>
            <w:tcW w:w="1143" w:type="dxa"/>
          </w:tcPr>
          <w:p w14:paraId="7B20E9E6"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31" w:type="dxa"/>
          </w:tcPr>
          <w:p w14:paraId="38BA205B"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30" w:type="dxa"/>
          </w:tcPr>
          <w:p w14:paraId="57780A0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229" w:type="dxa"/>
          </w:tcPr>
          <w:p w14:paraId="332515D1"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98" w:type="dxa"/>
          </w:tcPr>
          <w:p w14:paraId="30C2CF04"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97" w:type="dxa"/>
          </w:tcPr>
          <w:p w14:paraId="3C8C88FF" w14:textId="77777777" w:rsidR="00DC012D" w:rsidRDefault="00281552">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r>
    </w:tbl>
    <w:p w14:paraId="5271C183" w14:textId="77777777" w:rsidR="00DC012D" w:rsidRDefault="00DC012D">
      <w:pPr>
        <w:jc w:val="both"/>
        <w:rPr>
          <w:rFonts w:ascii="Times New Roman" w:hAnsi="Times New Roman" w:cs="Times New Roman"/>
          <w:i/>
          <w:iCs/>
        </w:rPr>
      </w:pPr>
    </w:p>
    <w:p w14:paraId="711993EE" w14:textId="77777777" w:rsidR="00DC012D" w:rsidRDefault="00281552">
      <w:pPr>
        <w:jc w:val="both"/>
        <w:rPr>
          <w:rFonts w:ascii="Times New Roman" w:hAnsi="Times New Roman" w:cs="Times New Roman"/>
          <w:i/>
          <w:iCs/>
        </w:rPr>
      </w:pPr>
      <w:r>
        <w:rPr>
          <w:rFonts w:ascii="Times New Roman" w:hAnsi="Times New Roman" w:cs="Times New Roman"/>
          <w:i/>
          <w:iCs/>
        </w:rPr>
        <w:t>Table 1: Requirement table for the different use cases for the sidelink-based positioning enhancement study.</w:t>
      </w:r>
    </w:p>
    <w:p w14:paraId="7D4D0D64" w14:textId="77777777" w:rsidR="00DC012D" w:rsidRDefault="00DC012D">
      <w:pPr>
        <w:jc w:val="both"/>
        <w:rPr>
          <w:rFonts w:ascii="Times New Roman" w:hAnsi="Times New Roman" w:cs="Times New Roman"/>
          <w:b/>
          <w:bCs/>
          <w:i/>
          <w:iCs/>
        </w:rPr>
      </w:pPr>
    </w:p>
    <w:p w14:paraId="10079FF4" w14:textId="77777777" w:rsidR="00DC012D" w:rsidRDefault="00DC012D">
      <w:pPr>
        <w:jc w:val="both"/>
        <w:rPr>
          <w:rFonts w:ascii="Times New Roman" w:hAnsi="Times New Roman" w:cs="Times New Roman"/>
          <w:b/>
          <w:bCs/>
          <w:i/>
          <w:iCs/>
        </w:rPr>
      </w:pPr>
    </w:p>
    <w:p w14:paraId="0F901967" w14:textId="77777777" w:rsidR="00DC012D" w:rsidRDefault="00281552">
      <w:pPr>
        <w:jc w:val="both"/>
        <w:rPr>
          <w:rFonts w:ascii="Times New Roman" w:hAnsi="Times New Roman" w:cs="Times New Roman"/>
          <w:b/>
          <w:bCs/>
        </w:rPr>
      </w:pPr>
      <w:r>
        <w:rPr>
          <w:rFonts w:ascii="Times New Roman" w:hAnsi="Times New Roman" w:cs="Times New Roman"/>
          <w:b/>
          <w:bCs/>
        </w:rPr>
        <w:t xml:space="preserve">Proposal 5: </w:t>
      </w:r>
      <w:r>
        <w:rPr>
          <w:rFonts w:ascii="Times New Roman" w:hAnsi="Times New Roman" w:cs="Times New Roman"/>
        </w:rPr>
        <w:t>Both relative and absolute positioning should be studied for all the use cases and scenarios within</w:t>
      </w:r>
      <w:r>
        <w:rPr>
          <w:rFonts w:ascii="Times New Roman" w:hAnsi="Times New Roman" w:cs="Times New Roman"/>
          <w:b/>
          <w:bCs/>
        </w:rPr>
        <w:t>.</w:t>
      </w:r>
    </w:p>
    <w:p w14:paraId="262B3C04" w14:textId="77777777" w:rsidR="00DC012D" w:rsidRDefault="00DC012D">
      <w:pPr>
        <w:jc w:val="both"/>
        <w:rPr>
          <w:rFonts w:ascii="Times New Roman" w:hAnsi="Times New Roman" w:cs="Times New Roman"/>
          <w:b/>
          <w:bCs/>
          <w:i/>
          <w:iCs/>
        </w:rPr>
      </w:pPr>
    </w:p>
    <w:p w14:paraId="63AA36C0" w14:textId="77777777" w:rsidR="00DC012D" w:rsidRDefault="00281552">
      <w:pPr>
        <w:pStyle w:val="ListParagraph"/>
        <w:numPr>
          <w:ilvl w:val="0"/>
          <w:numId w:val="6"/>
        </w:numPr>
        <w:jc w:val="both"/>
        <w:rPr>
          <w:rFonts w:ascii="Times New Roman" w:hAnsi="Times New Roman" w:cs="Times New Roman"/>
          <w:b/>
          <w:bCs/>
        </w:rPr>
      </w:pPr>
      <w:r>
        <w:rPr>
          <w:rFonts w:ascii="Times New Roman" w:hAnsi="Times New Roman" w:cs="Times New Roman"/>
          <w:b/>
          <w:bCs/>
        </w:rPr>
        <w:t>Frequency bands for Study:</w:t>
      </w:r>
    </w:p>
    <w:p w14:paraId="140340AA" w14:textId="77777777" w:rsidR="00DC012D" w:rsidRDefault="00DC012D">
      <w:pPr>
        <w:jc w:val="both"/>
        <w:rPr>
          <w:rFonts w:ascii="Times New Roman" w:hAnsi="Times New Roman" w:cs="Times New Roman"/>
          <w:b/>
          <w:bCs/>
          <w:i/>
          <w:iCs/>
        </w:rPr>
      </w:pPr>
    </w:p>
    <w:p w14:paraId="5BD47639" w14:textId="77777777" w:rsidR="00DC012D" w:rsidRDefault="00281552">
      <w:pPr>
        <w:jc w:val="both"/>
        <w:rPr>
          <w:rFonts w:ascii="Times New Roman" w:hAnsi="Times New Roman" w:cs="Times New Roman"/>
        </w:rPr>
      </w:pPr>
      <w:r>
        <w:rPr>
          <w:rFonts w:ascii="Times New Roman" w:hAnsi="Times New Roman" w:cs="Times New Roman"/>
        </w:rPr>
        <w:t xml:space="preserve">For the best accuracy of positioning estimate, the sampling rate at which PRS is transmitted is an important factor. Therefore, positioning estimate accuracy will be proportional to the bandwidth over which PRS is transmitted. Some of the use cases in V2X, public safety, and IIoT need sub-metre level of accuracy which needs large bandwidth. ITS band which is available for V2X communication is limited (75 MHz) further allowed ITS band in some of the regions is limited to 20 </w:t>
      </w:r>
      <w:proofErr w:type="spellStart"/>
      <w:r>
        <w:rPr>
          <w:rFonts w:ascii="Times New Roman" w:hAnsi="Times New Roman" w:cs="Times New Roman"/>
        </w:rPr>
        <w:t>MHz.</w:t>
      </w:r>
      <w:proofErr w:type="spellEnd"/>
      <w:r>
        <w:rPr>
          <w:rFonts w:ascii="Times New Roman" w:hAnsi="Times New Roman" w:cs="Times New Roman"/>
        </w:rPr>
        <w:t xml:space="preserve"> In this case, achieving sub-metre level accuracy is a challenging task. Similarly using a licensed band for V2X communication is feasible when it shares spectrum with the cellular network. This is supported in the V2X standard. In RAN plenary few companies proposed to use the unlicensed band for sidelink positioning where the unlicensed spectrum can be used for only PRS transmission. The use of an unlicensed band will </w:t>
      </w:r>
      <w:proofErr w:type="gramStart"/>
      <w:r>
        <w:rPr>
          <w:rFonts w:ascii="Times New Roman" w:hAnsi="Times New Roman" w:cs="Times New Roman"/>
        </w:rPr>
        <w:t>definitely help</w:t>
      </w:r>
      <w:proofErr w:type="gramEnd"/>
      <w:r>
        <w:rPr>
          <w:rFonts w:ascii="Times New Roman" w:hAnsi="Times New Roman" w:cs="Times New Roman"/>
        </w:rPr>
        <w:t xml:space="preserve"> in improving positioning estimate accuracy but sidelink has extended yet to use sidelink band for communication. Therefore, careful study is required to </w:t>
      </w:r>
      <w:proofErr w:type="spellStart"/>
      <w:r>
        <w:rPr>
          <w:rFonts w:ascii="Times New Roman" w:hAnsi="Times New Roman" w:cs="Times New Roman"/>
        </w:rPr>
        <w:t>analyze</w:t>
      </w:r>
      <w:proofErr w:type="spellEnd"/>
      <w:r>
        <w:rPr>
          <w:rFonts w:ascii="Times New Roman" w:hAnsi="Times New Roman" w:cs="Times New Roman"/>
        </w:rPr>
        <w:t xml:space="preserve"> the feasibility to use the unlicensed spectrum for sidelink position. Rel 18 sidelink work item agreed to bring enhancement to support NR-U over sidelink. We can wait till sufficient progress in this agenda and take up related development at the later stage of the study. </w:t>
      </w:r>
    </w:p>
    <w:p w14:paraId="00C858F4" w14:textId="77777777" w:rsidR="00DC012D" w:rsidRDefault="00DC012D">
      <w:pPr>
        <w:jc w:val="both"/>
        <w:rPr>
          <w:rFonts w:ascii="Times New Roman" w:hAnsi="Times New Roman" w:cs="Times New Roman"/>
          <w:b/>
          <w:bCs/>
          <w:i/>
          <w:iCs/>
        </w:rPr>
      </w:pPr>
    </w:p>
    <w:p w14:paraId="21093FDD" w14:textId="77777777" w:rsidR="00DC012D" w:rsidRDefault="00DC012D">
      <w:pPr>
        <w:jc w:val="both"/>
        <w:rPr>
          <w:rFonts w:ascii="Times New Roman" w:hAnsi="Times New Roman" w:cs="Times New Roman"/>
          <w:i/>
          <w:iCs/>
        </w:rPr>
      </w:pPr>
    </w:p>
    <w:p w14:paraId="7AE3D61A" w14:textId="77777777" w:rsidR="00DC012D" w:rsidRDefault="00281552">
      <w:pPr>
        <w:jc w:val="both"/>
        <w:rPr>
          <w:rFonts w:ascii="Times New Roman" w:hAnsi="Times New Roman" w:cs="Times New Roman"/>
        </w:rPr>
      </w:pPr>
      <w:r>
        <w:rPr>
          <w:rFonts w:ascii="Times New Roman" w:hAnsi="Times New Roman" w:cs="Times New Roman"/>
          <w:b/>
          <w:bCs/>
        </w:rPr>
        <w:t xml:space="preserve">Proposal 6: </w:t>
      </w:r>
      <w:r>
        <w:rPr>
          <w:rFonts w:ascii="Times New Roman" w:hAnsi="Times New Roman" w:cs="Times New Roman"/>
        </w:rPr>
        <w:t xml:space="preserve">Rel 18 </w:t>
      </w:r>
      <w:r>
        <w:rPr>
          <w:rFonts w:ascii="Times New Roman" w:hAnsi="Times New Roman" w:cs="Times New Roman"/>
          <w:b/>
          <w:bCs/>
        </w:rPr>
        <w:t>s</w:t>
      </w:r>
      <w:r>
        <w:rPr>
          <w:rFonts w:ascii="Times New Roman" w:hAnsi="Times New Roman" w:cs="Times New Roman"/>
        </w:rPr>
        <w:t>tudy should support ITS and licensed band for sidelink positioning. The unlicensed band should be taken up later depending on the progress in the sidelink item.</w:t>
      </w:r>
    </w:p>
    <w:p w14:paraId="1199A077" w14:textId="77777777" w:rsidR="00DC012D" w:rsidRDefault="00281552">
      <w:pPr>
        <w:rPr>
          <w:rFonts w:ascii="Times New Roman" w:hAnsi="Times New Roman" w:cs="Times New Roman"/>
        </w:rPr>
      </w:pPr>
      <w:r>
        <w:br w:type="page"/>
      </w:r>
    </w:p>
    <w:p w14:paraId="4DADBE96" w14:textId="77777777" w:rsidR="00DC012D" w:rsidRDefault="00281552">
      <w:pPr>
        <w:pStyle w:val="Heading3"/>
        <w:numPr>
          <w:ilvl w:val="2"/>
          <w:numId w:val="4"/>
        </w:numPr>
        <w:jc w:val="both"/>
        <w:rPr>
          <w:rFonts w:ascii="Times New Roman" w:hAnsi="Times New Roman" w:cs="Times New Roman"/>
          <w:sz w:val="28"/>
          <w:szCs w:val="28"/>
        </w:rPr>
      </w:pPr>
      <w:r>
        <w:rPr>
          <w:rFonts w:ascii="Times New Roman" w:hAnsi="Times New Roman" w:cs="Times New Roman"/>
          <w:sz w:val="28"/>
          <w:szCs w:val="28"/>
        </w:rPr>
        <w:lastRenderedPageBreak/>
        <w:t>Conclusion:</w:t>
      </w:r>
    </w:p>
    <w:p w14:paraId="1D7553AA" w14:textId="77777777" w:rsidR="00DC012D" w:rsidRDefault="00281552">
      <w:pPr>
        <w:rPr>
          <w:rFonts w:ascii="Times New Roman" w:hAnsi="Times New Roman" w:cs="Times New Roman"/>
        </w:rPr>
      </w:pPr>
      <w:r>
        <w:rPr>
          <w:rFonts w:ascii="Times New Roman" w:hAnsi="Times New Roman" w:cs="Times New Roman"/>
        </w:rPr>
        <w:t>The contribution draws the following conclusions,</w:t>
      </w:r>
    </w:p>
    <w:p w14:paraId="39176C10" w14:textId="77777777" w:rsidR="00DC012D" w:rsidRDefault="00DC012D">
      <w:pPr>
        <w:rPr>
          <w:rFonts w:ascii="Times New Roman" w:hAnsi="Times New Roman" w:cs="Times New Roman"/>
        </w:rPr>
      </w:pPr>
    </w:p>
    <w:p w14:paraId="52996A58" w14:textId="77777777" w:rsidR="00DC012D" w:rsidRDefault="00281552">
      <w:pPr>
        <w:jc w:val="both"/>
        <w:rPr>
          <w:rFonts w:ascii="Times New Roman" w:hAnsi="Times New Roman" w:cs="Times New Roman"/>
        </w:rPr>
      </w:pPr>
      <w:r>
        <w:rPr>
          <w:rFonts w:ascii="Times New Roman" w:eastAsia="Malgun Gothic" w:hAnsi="Times New Roman" w:cs="Times New Roman"/>
          <w:b/>
          <w:bCs/>
        </w:rPr>
        <w:t xml:space="preserve">Proposal 1: </w:t>
      </w:r>
      <w:r>
        <w:rPr>
          <w:rFonts w:ascii="Times New Roman" w:eastAsia="Malgun Gothic" w:hAnsi="Times New Roman" w:cs="Times New Roman"/>
        </w:rPr>
        <w:t>Rel 18</w:t>
      </w:r>
      <w:r>
        <w:rPr>
          <w:rFonts w:ascii="Times New Roman" w:eastAsia="Malgun Gothic" w:hAnsi="Times New Roman" w:cs="Times New Roman"/>
          <w:b/>
          <w:bCs/>
        </w:rPr>
        <w:t xml:space="preserve"> s</w:t>
      </w:r>
      <w:r>
        <w:rPr>
          <w:rFonts w:ascii="Times New Roman" w:eastAsia="Malgun Gothic" w:hAnsi="Times New Roman" w:cs="Times New Roman"/>
        </w:rPr>
        <w:t xml:space="preserve">tudy should include V2X, public safety, and IIoT as target use cases and requirements should be derived considering them. </w:t>
      </w:r>
    </w:p>
    <w:p w14:paraId="62918536" w14:textId="77777777" w:rsidR="00DC012D" w:rsidRDefault="00DC012D">
      <w:pPr>
        <w:rPr>
          <w:rFonts w:ascii="Times New Roman" w:hAnsi="Times New Roman" w:cs="Times New Roman"/>
        </w:rPr>
      </w:pPr>
    </w:p>
    <w:p w14:paraId="03B06141" w14:textId="77777777" w:rsidR="00DC012D" w:rsidRDefault="00281552">
      <w:pPr>
        <w:jc w:val="both"/>
        <w:rPr>
          <w:rFonts w:ascii="Times New Roman" w:hAnsi="Times New Roman" w:cs="Times New Roman"/>
        </w:rPr>
      </w:pPr>
      <w:r>
        <w:rPr>
          <w:rFonts w:ascii="Times New Roman" w:hAnsi="Times New Roman" w:cs="Times New Roman"/>
          <w:b/>
          <w:bCs/>
        </w:rPr>
        <w:t xml:space="preserve">Proposal 2: </w:t>
      </w:r>
      <w:r>
        <w:rPr>
          <w:rFonts w:ascii="Times New Roman" w:hAnsi="Times New Roman" w:cs="Times New Roman"/>
        </w:rPr>
        <w:t>In Rel 18,</w:t>
      </w:r>
      <w:r>
        <w:rPr>
          <w:rFonts w:ascii="Times New Roman" w:hAnsi="Times New Roman" w:cs="Times New Roman"/>
          <w:b/>
          <w:bCs/>
        </w:rPr>
        <w:t xml:space="preserve"> </w:t>
      </w:r>
      <w:r>
        <w:rPr>
          <w:rFonts w:ascii="Times New Roman" w:hAnsi="Times New Roman" w:cs="Times New Roman"/>
        </w:rPr>
        <w:t xml:space="preserve">in-coverage, partial coverage, and out-of-coverage scenarios should be considered for V2X and public safety use cases. </w:t>
      </w:r>
    </w:p>
    <w:p w14:paraId="208FBF06" w14:textId="77777777" w:rsidR="00DC012D" w:rsidRDefault="00DC012D">
      <w:pPr>
        <w:jc w:val="both"/>
        <w:rPr>
          <w:rFonts w:ascii="Times New Roman" w:hAnsi="Times New Roman" w:cs="Times New Roman"/>
        </w:rPr>
      </w:pPr>
    </w:p>
    <w:p w14:paraId="45A01CCD" w14:textId="7C2BB324" w:rsidR="00DC012D" w:rsidRDefault="00281552">
      <w:pPr>
        <w:jc w:val="both"/>
        <w:rPr>
          <w:rFonts w:ascii="Times New Roman" w:hAnsi="Times New Roman" w:cs="Times New Roman"/>
        </w:rPr>
      </w:pPr>
      <w:r>
        <w:rPr>
          <w:rFonts w:ascii="Times New Roman" w:hAnsi="Times New Roman" w:cs="Times New Roman"/>
          <w:b/>
          <w:bCs/>
        </w:rPr>
        <w:t>Proposal 3:</w:t>
      </w:r>
      <w:r>
        <w:rPr>
          <w:rFonts w:ascii="Times New Roman" w:hAnsi="Times New Roman" w:cs="Times New Roman"/>
        </w:rPr>
        <w:t xml:space="preserve"> Positioning accuracy availability, latency, TTFF, reliability, continuity, integrity, and positioning coverage improvement should be the set of KPIs for partial and out of coverage scenarios.</w:t>
      </w:r>
    </w:p>
    <w:p w14:paraId="2A7DB339" w14:textId="77777777" w:rsidR="00DC012D" w:rsidRDefault="00DC012D">
      <w:pPr>
        <w:jc w:val="both"/>
        <w:rPr>
          <w:rFonts w:ascii="Times New Roman" w:hAnsi="Times New Roman" w:cs="Times New Roman"/>
          <w:i/>
          <w:iCs/>
        </w:rPr>
      </w:pPr>
    </w:p>
    <w:p w14:paraId="335167E0" w14:textId="551AD73C" w:rsidR="00DC012D" w:rsidRDefault="00281552">
      <w:pPr>
        <w:jc w:val="both"/>
        <w:rPr>
          <w:rFonts w:ascii="Times New Roman" w:hAnsi="Times New Roman" w:cs="Times New Roman"/>
        </w:rPr>
      </w:pPr>
      <w:r>
        <w:rPr>
          <w:rFonts w:ascii="Times New Roman" w:hAnsi="Times New Roman" w:cs="Times New Roman"/>
          <w:b/>
          <w:bCs/>
        </w:rPr>
        <w:t>Proposal 4:</w:t>
      </w:r>
      <w:r>
        <w:rPr>
          <w:rFonts w:ascii="Times New Roman" w:hAnsi="Times New Roman" w:cs="Times New Roman"/>
        </w:rPr>
        <w:t xml:space="preserve"> In the release 18 study, the following table should be agreed upon as a requirement set for different use cases</w:t>
      </w:r>
      <w:r w:rsidR="00625D74">
        <w:rPr>
          <w:rFonts w:ascii="Times New Roman" w:hAnsi="Times New Roman" w:cs="Times New Roman"/>
        </w:rPr>
        <w:t>,</w:t>
      </w:r>
    </w:p>
    <w:tbl>
      <w:tblPr>
        <w:tblStyle w:val="GridTable1Light-Accent6"/>
        <w:tblW w:w="0" w:type="auto"/>
        <w:jc w:val="center"/>
        <w:tblLayout w:type="fixed"/>
        <w:tblLook w:val="04A0" w:firstRow="1" w:lastRow="0" w:firstColumn="1" w:lastColumn="0" w:noHBand="0" w:noVBand="1"/>
      </w:tblPr>
      <w:tblGrid>
        <w:gridCol w:w="2064"/>
        <w:gridCol w:w="1162"/>
        <w:gridCol w:w="1162"/>
        <w:gridCol w:w="1164"/>
        <w:gridCol w:w="1162"/>
        <w:gridCol w:w="1101"/>
        <w:gridCol w:w="1103"/>
      </w:tblGrid>
      <w:tr w:rsidR="00625D74" w14:paraId="4EAD4DD5" w14:textId="77777777" w:rsidTr="0047764C">
        <w:trPr>
          <w:cnfStyle w:val="100000000000" w:firstRow="1" w:lastRow="0" w:firstColumn="0" w:lastColumn="0" w:oddVBand="0" w:evenVBand="0" w:oddHBand="0"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8918" w:type="dxa"/>
            <w:gridSpan w:val="7"/>
            <w:tcBorders>
              <w:bottom w:val="single" w:sz="12" w:space="0" w:color="A8D08D"/>
            </w:tcBorders>
          </w:tcPr>
          <w:p w14:paraId="7F1473D9" w14:textId="20306779" w:rsidR="00625D74" w:rsidRDefault="00625D74" w:rsidP="0047764C">
            <w:pPr>
              <w:jc w:val="center"/>
              <w:rPr>
                <w:rFonts w:ascii="Times New Roman" w:hAnsi="Times New Roman" w:cs="Times New Roman"/>
              </w:rPr>
            </w:pPr>
            <w:r>
              <w:rPr>
                <w:rFonts w:ascii="Times New Roman" w:hAnsi="Times New Roman" w:cs="Times New Roman"/>
              </w:rPr>
              <w:t>Use cases</w:t>
            </w:r>
          </w:p>
        </w:tc>
      </w:tr>
      <w:tr w:rsidR="00625D74" w14:paraId="3EF71276" w14:textId="77777777" w:rsidTr="00625D74">
        <w:trPr>
          <w:trHeight w:val="460"/>
          <w:jc w:val="center"/>
        </w:trPr>
        <w:tc>
          <w:tcPr>
            <w:cnfStyle w:val="001000000000" w:firstRow="0" w:lastRow="0" w:firstColumn="1" w:lastColumn="0" w:oddVBand="0" w:evenVBand="0" w:oddHBand="0" w:evenHBand="0" w:firstRowFirstColumn="0" w:firstRowLastColumn="0" w:lastRowFirstColumn="0" w:lastRowLastColumn="0"/>
            <w:tcW w:w="2064" w:type="dxa"/>
          </w:tcPr>
          <w:p w14:paraId="698FC3E9" w14:textId="77777777" w:rsidR="00625D74" w:rsidRDefault="00625D74" w:rsidP="005C64F7">
            <w:pPr>
              <w:pStyle w:val="TableContents"/>
              <w:rPr>
                <w:rFonts w:ascii="Times New Roman" w:hAnsi="Times New Roman" w:cs="Times New Roman"/>
              </w:rPr>
            </w:pPr>
          </w:p>
        </w:tc>
        <w:tc>
          <w:tcPr>
            <w:tcW w:w="3488" w:type="dxa"/>
            <w:gridSpan w:val="3"/>
          </w:tcPr>
          <w:p w14:paraId="4B5BB230"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V2X</w:t>
            </w:r>
          </w:p>
        </w:tc>
        <w:tc>
          <w:tcPr>
            <w:tcW w:w="1162" w:type="dxa"/>
          </w:tcPr>
          <w:p w14:paraId="17CFAE89"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Public safety</w:t>
            </w:r>
          </w:p>
        </w:tc>
        <w:tc>
          <w:tcPr>
            <w:tcW w:w="2203" w:type="dxa"/>
            <w:gridSpan w:val="2"/>
          </w:tcPr>
          <w:p w14:paraId="1567821B"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IIoT</w:t>
            </w:r>
          </w:p>
        </w:tc>
      </w:tr>
      <w:tr w:rsidR="00625D74" w14:paraId="6501BF67" w14:textId="77777777" w:rsidTr="00625D74">
        <w:trPr>
          <w:trHeight w:val="237"/>
          <w:jc w:val="center"/>
        </w:trPr>
        <w:tc>
          <w:tcPr>
            <w:cnfStyle w:val="001000000000" w:firstRow="0" w:lastRow="0" w:firstColumn="1" w:lastColumn="0" w:oddVBand="0" w:evenVBand="0" w:oddHBand="0" w:evenHBand="0" w:firstRowFirstColumn="0" w:firstRowLastColumn="0" w:lastRowFirstColumn="0" w:lastRowLastColumn="0"/>
            <w:tcW w:w="2064" w:type="dxa"/>
          </w:tcPr>
          <w:p w14:paraId="278C0BBD" w14:textId="77777777" w:rsidR="00625D74" w:rsidRDefault="00625D74" w:rsidP="005C64F7">
            <w:pPr>
              <w:rPr>
                <w:rFonts w:ascii="Times New Roman" w:hAnsi="Times New Roman" w:cs="Times New Roman"/>
              </w:rPr>
            </w:pPr>
          </w:p>
        </w:tc>
        <w:tc>
          <w:tcPr>
            <w:tcW w:w="1162" w:type="dxa"/>
          </w:tcPr>
          <w:p w14:paraId="42AB2774" w14:textId="77777777" w:rsidR="00625D74" w:rsidRPr="00853383"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1</w:t>
            </w:r>
          </w:p>
        </w:tc>
        <w:tc>
          <w:tcPr>
            <w:tcW w:w="1162" w:type="dxa"/>
          </w:tcPr>
          <w:p w14:paraId="3B156628" w14:textId="77777777" w:rsidR="00625D74" w:rsidRPr="00853383"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2</w:t>
            </w:r>
          </w:p>
        </w:tc>
        <w:tc>
          <w:tcPr>
            <w:tcW w:w="1162" w:type="dxa"/>
          </w:tcPr>
          <w:p w14:paraId="3EFCDE47" w14:textId="77777777" w:rsidR="00625D74" w:rsidRPr="00853383"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3</w:t>
            </w:r>
          </w:p>
        </w:tc>
        <w:tc>
          <w:tcPr>
            <w:tcW w:w="1162" w:type="dxa"/>
          </w:tcPr>
          <w:p w14:paraId="05E82A28"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01" w:type="dxa"/>
          </w:tcPr>
          <w:p w14:paraId="36A5E446" w14:textId="77777777" w:rsidR="00625D74" w:rsidRPr="00853383"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1</w:t>
            </w:r>
          </w:p>
        </w:tc>
        <w:tc>
          <w:tcPr>
            <w:tcW w:w="1101" w:type="dxa"/>
          </w:tcPr>
          <w:p w14:paraId="15331D8F" w14:textId="77777777" w:rsidR="00625D74" w:rsidRPr="00853383"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853383">
              <w:rPr>
                <w:rFonts w:ascii="Times New Roman" w:hAnsi="Times New Roman" w:cs="Times New Roman"/>
                <w:b/>
                <w:bCs/>
              </w:rPr>
              <w:t>Set 2</w:t>
            </w:r>
          </w:p>
        </w:tc>
      </w:tr>
      <w:tr w:rsidR="00625D74" w14:paraId="7463425D" w14:textId="77777777" w:rsidTr="00625D74">
        <w:trPr>
          <w:trHeight w:val="229"/>
          <w:jc w:val="center"/>
        </w:trPr>
        <w:tc>
          <w:tcPr>
            <w:cnfStyle w:val="001000000000" w:firstRow="0" w:lastRow="0" w:firstColumn="1" w:lastColumn="0" w:oddVBand="0" w:evenVBand="0" w:oddHBand="0" w:evenHBand="0" w:firstRowFirstColumn="0" w:firstRowLastColumn="0" w:lastRowFirstColumn="0" w:lastRowLastColumn="0"/>
            <w:tcW w:w="2064" w:type="dxa"/>
          </w:tcPr>
          <w:p w14:paraId="0F18C510" w14:textId="77777777" w:rsidR="00625D74" w:rsidRDefault="00625D74" w:rsidP="005C64F7">
            <w:pPr>
              <w:rPr>
                <w:rFonts w:ascii="Times New Roman" w:hAnsi="Times New Roman" w:cs="Times New Roman"/>
              </w:rPr>
            </w:pPr>
            <w:r>
              <w:rPr>
                <w:rFonts w:ascii="Times New Roman" w:hAnsi="Times New Roman" w:cs="Times New Roman"/>
              </w:rPr>
              <w:t>Absolute/Relative</w:t>
            </w:r>
          </w:p>
        </w:tc>
        <w:tc>
          <w:tcPr>
            <w:tcW w:w="1162" w:type="dxa"/>
          </w:tcPr>
          <w:p w14:paraId="444CA6D7"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62" w:type="dxa"/>
          </w:tcPr>
          <w:p w14:paraId="4BA97081"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62" w:type="dxa"/>
          </w:tcPr>
          <w:p w14:paraId="3E4DDC01"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62" w:type="dxa"/>
          </w:tcPr>
          <w:p w14:paraId="4BFDF5B8"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01" w:type="dxa"/>
          </w:tcPr>
          <w:p w14:paraId="68C86823"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c>
          <w:tcPr>
            <w:tcW w:w="1101" w:type="dxa"/>
          </w:tcPr>
          <w:p w14:paraId="6B4FEDD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Both</w:t>
            </w:r>
          </w:p>
        </w:tc>
      </w:tr>
      <w:tr w:rsidR="00625D74" w14:paraId="52D2A58E" w14:textId="77777777" w:rsidTr="00625D74">
        <w:trPr>
          <w:trHeight w:val="1397"/>
          <w:jc w:val="center"/>
        </w:trPr>
        <w:tc>
          <w:tcPr>
            <w:cnfStyle w:val="001000000000" w:firstRow="0" w:lastRow="0" w:firstColumn="1" w:lastColumn="0" w:oddVBand="0" w:evenVBand="0" w:oddHBand="0" w:evenHBand="0" w:firstRowFirstColumn="0" w:firstRowLastColumn="0" w:lastRowFirstColumn="0" w:lastRowLastColumn="0"/>
            <w:tcW w:w="2064" w:type="dxa"/>
          </w:tcPr>
          <w:p w14:paraId="1EF5E917" w14:textId="77777777" w:rsidR="00625D74" w:rsidRDefault="00625D74" w:rsidP="005C64F7">
            <w:pPr>
              <w:pStyle w:val="TableContents"/>
              <w:rPr>
                <w:rFonts w:ascii="Times New Roman" w:hAnsi="Times New Roman" w:cs="Times New Roman"/>
              </w:rPr>
            </w:pPr>
            <w:r>
              <w:rPr>
                <w:rFonts w:ascii="Times New Roman" w:hAnsi="Times New Roman" w:cs="Times New Roman"/>
              </w:rPr>
              <w:t>Scenarios</w:t>
            </w:r>
          </w:p>
        </w:tc>
        <w:tc>
          <w:tcPr>
            <w:tcW w:w="1162" w:type="dxa"/>
          </w:tcPr>
          <w:p w14:paraId="5AFBE235"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coverage, partial coverage,  </w:t>
            </w:r>
          </w:p>
          <w:p w14:paraId="0C21F6B4"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out of coverage</w:t>
            </w:r>
          </w:p>
        </w:tc>
        <w:tc>
          <w:tcPr>
            <w:tcW w:w="1162" w:type="dxa"/>
          </w:tcPr>
          <w:p w14:paraId="0E021D01"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coverage, partial coverage,  </w:t>
            </w:r>
          </w:p>
          <w:p w14:paraId="021F5907"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out of coverage</w:t>
            </w:r>
          </w:p>
        </w:tc>
        <w:tc>
          <w:tcPr>
            <w:tcW w:w="1162" w:type="dxa"/>
          </w:tcPr>
          <w:p w14:paraId="07A714B9"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coverage, partial coverage,  </w:t>
            </w:r>
          </w:p>
          <w:p w14:paraId="2FD2B302"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out of coverage</w:t>
            </w:r>
          </w:p>
        </w:tc>
        <w:tc>
          <w:tcPr>
            <w:tcW w:w="1162" w:type="dxa"/>
          </w:tcPr>
          <w:p w14:paraId="412A2E3B"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coverage, partial coverage,  </w:t>
            </w:r>
          </w:p>
          <w:p w14:paraId="0A3C6836"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out of coverage</w:t>
            </w:r>
          </w:p>
        </w:tc>
        <w:tc>
          <w:tcPr>
            <w:tcW w:w="1101" w:type="dxa"/>
          </w:tcPr>
          <w:p w14:paraId="4A76A872"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 coverage</w:t>
            </w:r>
          </w:p>
        </w:tc>
        <w:tc>
          <w:tcPr>
            <w:tcW w:w="1101" w:type="dxa"/>
          </w:tcPr>
          <w:p w14:paraId="45290C88"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 coverage</w:t>
            </w:r>
          </w:p>
        </w:tc>
      </w:tr>
      <w:tr w:rsidR="00625D74" w14:paraId="174F8A0C" w14:textId="77777777" w:rsidTr="00625D74">
        <w:trPr>
          <w:trHeight w:val="229"/>
          <w:jc w:val="center"/>
        </w:trPr>
        <w:tc>
          <w:tcPr>
            <w:cnfStyle w:val="001000000000" w:firstRow="0" w:lastRow="0" w:firstColumn="1" w:lastColumn="0" w:oddVBand="0" w:evenVBand="0" w:oddHBand="0" w:evenHBand="0" w:firstRowFirstColumn="0" w:firstRowLastColumn="0" w:lastRowFirstColumn="0" w:lastRowLastColumn="0"/>
            <w:tcW w:w="2064" w:type="dxa"/>
          </w:tcPr>
          <w:p w14:paraId="762624DB" w14:textId="77777777" w:rsidR="00625D74" w:rsidRDefault="00625D74" w:rsidP="005C64F7">
            <w:pPr>
              <w:pStyle w:val="TableContents"/>
              <w:rPr>
                <w:rFonts w:ascii="Times New Roman" w:hAnsi="Times New Roman" w:cs="Times New Roman"/>
              </w:rPr>
            </w:pPr>
            <w:r>
              <w:rPr>
                <w:rFonts w:ascii="Times New Roman" w:hAnsi="Times New Roman" w:cs="Times New Roman"/>
              </w:rPr>
              <w:t>Speed (km/hr)</w:t>
            </w:r>
          </w:p>
        </w:tc>
        <w:tc>
          <w:tcPr>
            <w:tcW w:w="1162" w:type="dxa"/>
          </w:tcPr>
          <w:p w14:paraId="3060D175"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162" w:type="dxa"/>
          </w:tcPr>
          <w:p w14:paraId="0D503E9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162" w:type="dxa"/>
          </w:tcPr>
          <w:p w14:paraId="5A7CD19C"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&lt;250</w:t>
            </w:r>
          </w:p>
        </w:tc>
        <w:tc>
          <w:tcPr>
            <w:tcW w:w="1162" w:type="dxa"/>
          </w:tcPr>
          <w:p w14:paraId="01822977"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w:t>
            </w:r>
          </w:p>
        </w:tc>
        <w:tc>
          <w:tcPr>
            <w:tcW w:w="1101" w:type="dxa"/>
          </w:tcPr>
          <w:p w14:paraId="797D5AE5"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3-30</w:t>
            </w:r>
          </w:p>
        </w:tc>
        <w:tc>
          <w:tcPr>
            <w:tcW w:w="1101" w:type="dxa"/>
          </w:tcPr>
          <w:p w14:paraId="59150AE3"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3-30</w:t>
            </w:r>
          </w:p>
        </w:tc>
      </w:tr>
      <w:tr w:rsidR="00625D74" w14:paraId="49906FA9" w14:textId="77777777" w:rsidTr="00625D74">
        <w:trPr>
          <w:trHeight w:val="623"/>
          <w:jc w:val="center"/>
        </w:trPr>
        <w:tc>
          <w:tcPr>
            <w:cnfStyle w:val="001000000000" w:firstRow="0" w:lastRow="0" w:firstColumn="1" w:lastColumn="0" w:oddVBand="0" w:evenVBand="0" w:oddHBand="0" w:evenHBand="0" w:firstRowFirstColumn="0" w:firstRowLastColumn="0" w:lastRowFirstColumn="0" w:lastRowLastColumn="0"/>
            <w:tcW w:w="2064" w:type="dxa"/>
          </w:tcPr>
          <w:p w14:paraId="616FB132" w14:textId="77777777" w:rsidR="00625D74" w:rsidRDefault="00625D74" w:rsidP="005C64F7">
            <w:pPr>
              <w:pStyle w:val="TableContents"/>
              <w:rPr>
                <w:rFonts w:ascii="Times New Roman" w:hAnsi="Times New Roman" w:cs="Times New Roman"/>
              </w:rPr>
            </w:pPr>
            <w:r>
              <w:rPr>
                <w:rFonts w:ascii="Times New Roman" w:hAnsi="Times New Roman" w:cs="Times New Roman"/>
              </w:rPr>
              <w:t>Accuracy (H-Horizontal V-Vertical)</w:t>
            </w:r>
          </w:p>
        </w:tc>
        <w:tc>
          <w:tcPr>
            <w:tcW w:w="1162" w:type="dxa"/>
          </w:tcPr>
          <w:p w14:paraId="14EDA5E8"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&lt;50 H, &lt;3m V</w:t>
            </w:r>
          </w:p>
          <w:p w14:paraId="7C02677B"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62" w:type="dxa"/>
          </w:tcPr>
          <w:p w14:paraId="0348CE5A"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&lt;1.5m H &lt;2m V</w:t>
            </w:r>
          </w:p>
          <w:p w14:paraId="1B20FF21"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62" w:type="dxa"/>
          </w:tcPr>
          <w:p w14:paraId="5BE863D0"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&lt;0.2m H &lt;2m V</w:t>
            </w:r>
          </w:p>
          <w:p w14:paraId="7D4A16B3"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62" w:type="dxa"/>
          </w:tcPr>
          <w:p w14:paraId="1E55BFB3"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&lt;1m H, 2m V</w:t>
            </w:r>
          </w:p>
          <w:p w14:paraId="5AA7F471"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01" w:type="dxa"/>
          </w:tcPr>
          <w:p w14:paraId="785978A7"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&lt;1m H</w:t>
            </w:r>
          </w:p>
          <w:p w14:paraId="1B768433"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01" w:type="dxa"/>
          </w:tcPr>
          <w:p w14:paraId="2CBA50CD" w14:textId="77777777" w:rsidR="00625D74" w:rsidRDefault="00625D74" w:rsidP="005C64F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&lt;30cm</w:t>
            </w:r>
          </w:p>
          <w:p w14:paraId="02BA8BC3"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25D74" w14:paraId="49821A0F" w14:textId="77777777" w:rsidTr="00625D74">
        <w:trPr>
          <w:trHeight w:val="229"/>
          <w:jc w:val="center"/>
        </w:trPr>
        <w:tc>
          <w:tcPr>
            <w:cnfStyle w:val="001000000000" w:firstRow="0" w:lastRow="0" w:firstColumn="1" w:lastColumn="0" w:oddVBand="0" w:evenVBand="0" w:oddHBand="0" w:evenHBand="0" w:firstRowFirstColumn="0" w:firstRowLastColumn="0" w:lastRowFirstColumn="0" w:lastRowLastColumn="0"/>
            <w:tcW w:w="2064" w:type="dxa"/>
          </w:tcPr>
          <w:p w14:paraId="45188C99" w14:textId="77777777" w:rsidR="00625D74" w:rsidRDefault="00625D74" w:rsidP="005C64F7">
            <w:pPr>
              <w:pStyle w:val="TableContents"/>
              <w:rPr>
                <w:rFonts w:ascii="Times New Roman" w:hAnsi="Times New Roman" w:cs="Times New Roman"/>
              </w:rPr>
            </w:pPr>
            <w:r>
              <w:rPr>
                <w:rFonts w:ascii="Times New Roman" w:hAnsi="Times New Roman" w:cs="Times New Roman"/>
              </w:rPr>
              <w:t>Latency</w:t>
            </w:r>
          </w:p>
        </w:tc>
        <w:tc>
          <w:tcPr>
            <w:tcW w:w="1162" w:type="dxa"/>
          </w:tcPr>
          <w:p w14:paraId="59D6B122"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10</w:t>
            </w:r>
          </w:p>
        </w:tc>
        <w:tc>
          <w:tcPr>
            <w:tcW w:w="1162" w:type="dxa"/>
          </w:tcPr>
          <w:p w14:paraId="1C56403E"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c>
          <w:tcPr>
            <w:tcW w:w="1162" w:type="dxa"/>
          </w:tcPr>
          <w:p w14:paraId="33EB4AAA"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c>
          <w:tcPr>
            <w:tcW w:w="1162" w:type="dxa"/>
          </w:tcPr>
          <w:p w14:paraId="649C21D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01" w:type="dxa"/>
          </w:tcPr>
          <w:p w14:paraId="54CA2265"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01" w:type="dxa"/>
          </w:tcPr>
          <w:p w14:paraId="699663DE"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w:t>
            </w:r>
          </w:p>
        </w:tc>
      </w:tr>
      <w:tr w:rsidR="00625D74" w14:paraId="549381B4" w14:textId="77777777" w:rsidTr="00625D74">
        <w:trPr>
          <w:trHeight w:val="237"/>
          <w:jc w:val="center"/>
        </w:trPr>
        <w:tc>
          <w:tcPr>
            <w:cnfStyle w:val="001000000000" w:firstRow="0" w:lastRow="0" w:firstColumn="1" w:lastColumn="0" w:oddVBand="0" w:evenVBand="0" w:oddHBand="0" w:evenHBand="0" w:firstRowFirstColumn="0" w:firstRowLastColumn="0" w:lastRowFirstColumn="0" w:lastRowLastColumn="0"/>
            <w:tcW w:w="2064" w:type="dxa"/>
          </w:tcPr>
          <w:p w14:paraId="1F2E8632" w14:textId="77777777" w:rsidR="00625D74" w:rsidRDefault="00625D74" w:rsidP="005C64F7">
            <w:pPr>
              <w:rPr>
                <w:rFonts w:ascii="Times New Roman" w:hAnsi="Times New Roman" w:cs="Times New Roman"/>
              </w:rPr>
            </w:pPr>
            <w:r>
              <w:rPr>
                <w:rFonts w:ascii="Times New Roman" w:hAnsi="Times New Roman" w:cs="Times New Roman"/>
              </w:rPr>
              <w:t>Availability</w:t>
            </w:r>
          </w:p>
        </w:tc>
        <w:tc>
          <w:tcPr>
            <w:tcW w:w="1162" w:type="dxa"/>
          </w:tcPr>
          <w:p w14:paraId="56DEF059"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95</w:t>
            </w:r>
          </w:p>
        </w:tc>
        <w:tc>
          <w:tcPr>
            <w:tcW w:w="1162" w:type="dxa"/>
          </w:tcPr>
          <w:p w14:paraId="41B76B69"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c>
          <w:tcPr>
            <w:tcW w:w="1162" w:type="dxa"/>
          </w:tcPr>
          <w:p w14:paraId="34A07642"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c>
          <w:tcPr>
            <w:tcW w:w="1162" w:type="dxa"/>
          </w:tcPr>
          <w:p w14:paraId="0AE59706"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98</w:t>
            </w:r>
          </w:p>
        </w:tc>
        <w:tc>
          <w:tcPr>
            <w:tcW w:w="1101" w:type="dxa"/>
          </w:tcPr>
          <w:p w14:paraId="24DF7AE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90</w:t>
            </w:r>
          </w:p>
        </w:tc>
        <w:tc>
          <w:tcPr>
            <w:tcW w:w="1101" w:type="dxa"/>
          </w:tcPr>
          <w:p w14:paraId="2C79B7F8"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99</w:t>
            </w:r>
          </w:p>
        </w:tc>
      </w:tr>
      <w:tr w:rsidR="00625D74" w14:paraId="300C4E9F" w14:textId="77777777" w:rsidTr="00625D74">
        <w:trPr>
          <w:trHeight w:val="229"/>
          <w:jc w:val="center"/>
        </w:trPr>
        <w:tc>
          <w:tcPr>
            <w:cnfStyle w:val="001000000000" w:firstRow="0" w:lastRow="0" w:firstColumn="1" w:lastColumn="0" w:oddVBand="0" w:evenVBand="0" w:oddHBand="0" w:evenHBand="0" w:firstRowFirstColumn="0" w:firstRowLastColumn="0" w:lastRowFirstColumn="0" w:lastRowLastColumn="0"/>
            <w:tcW w:w="2064" w:type="dxa"/>
          </w:tcPr>
          <w:p w14:paraId="39E3C3B6" w14:textId="77777777" w:rsidR="00625D74" w:rsidRDefault="00625D74" w:rsidP="005C64F7">
            <w:pPr>
              <w:rPr>
                <w:rFonts w:ascii="Times New Roman" w:hAnsi="Times New Roman" w:cs="Times New Roman"/>
              </w:rPr>
            </w:pPr>
            <w:r>
              <w:rPr>
                <w:rFonts w:ascii="Times New Roman" w:hAnsi="Times New Roman" w:cs="Times New Roman"/>
              </w:rPr>
              <w:t>TTFF</w:t>
            </w:r>
          </w:p>
        </w:tc>
        <w:tc>
          <w:tcPr>
            <w:tcW w:w="1162" w:type="dxa"/>
          </w:tcPr>
          <w:p w14:paraId="71D7F77A"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053E05C6"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3770398C"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675C87AC"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01" w:type="dxa"/>
          </w:tcPr>
          <w:p w14:paraId="63CDCD3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01" w:type="dxa"/>
          </w:tcPr>
          <w:p w14:paraId="6945A65E"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r>
      <w:tr w:rsidR="00625D74" w14:paraId="3460E20C" w14:textId="77777777" w:rsidTr="00625D74">
        <w:trPr>
          <w:trHeight w:val="237"/>
          <w:jc w:val="center"/>
        </w:trPr>
        <w:tc>
          <w:tcPr>
            <w:cnfStyle w:val="001000000000" w:firstRow="0" w:lastRow="0" w:firstColumn="1" w:lastColumn="0" w:oddVBand="0" w:evenVBand="0" w:oddHBand="0" w:evenHBand="0" w:firstRowFirstColumn="0" w:firstRowLastColumn="0" w:lastRowFirstColumn="0" w:lastRowLastColumn="0"/>
            <w:tcW w:w="2064" w:type="dxa"/>
          </w:tcPr>
          <w:p w14:paraId="633107DF" w14:textId="77777777" w:rsidR="00625D74" w:rsidRDefault="00625D74" w:rsidP="005C64F7">
            <w:pPr>
              <w:rPr>
                <w:rFonts w:ascii="Times New Roman" w:hAnsi="Times New Roman" w:cs="Times New Roman"/>
              </w:rPr>
            </w:pPr>
            <w:r>
              <w:rPr>
                <w:rFonts w:ascii="Times New Roman" w:hAnsi="Times New Roman" w:cs="Times New Roman"/>
              </w:rPr>
              <w:t>Reliability</w:t>
            </w:r>
          </w:p>
        </w:tc>
        <w:tc>
          <w:tcPr>
            <w:tcW w:w="1162" w:type="dxa"/>
          </w:tcPr>
          <w:p w14:paraId="6B07D53E"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268CA68F"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7CDE795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62" w:type="dxa"/>
          </w:tcPr>
          <w:p w14:paraId="7DE0E932"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01" w:type="dxa"/>
          </w:tcPr>
          <w:p w14:paraId="385F1C2D"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c>
          <w:tcPr>
            <w:tcW w:w="1101" w:type="dxa"/>
          </w:tcPr>
          <w:p w14:paraId="33C8AB50" w14:textId="77777777" w:rsidR="00625D74" w:rsidRDefault="00625D74" w:rsidP="005C64F7">
            <w:pPr>
              <w:pStyle w:val="TableContent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t>
            </w:r>
          </w:p>
        </w:tc>
      </w:tr>
    </w:tbl>
    <w:p w14:paraId="01BFE90D" w14:textId="77777777" w:rsidR="00625D74" w:rsidRDefault="00625D74">
      <w:pPr>
        <w:jc w:val="both"/>
        <w:rPr>
          <w:rFonts w:ascii="Times New Roman" w:hAnsi="Times New Roman" w:cs="Times New Roman"/>
        </w:rPr>
      </w:pPr>
    </w:p>
    <w:p w14:paraId="550AD1DE" w14:textId="77777777" w:rsidR="00DC012D" w:rsidRDefault="00DC012D">
      <w:pPr>
        <w:jc w:val="both"/>
        <w:rPr>
          <w:rFonts w:ascii="Times New Roman" w:hAnsi="Times New Roman" w:cs="Times New Roman"/>
        </w:rPr>
      </w:pPr>
    </w:p>
    <w:p w14:paraId="1B221528" w14:textId="77777777" w:rsidR="00DC012D" w:rsidRDefault="00281552">
      <w:pPr>
        <w:jc w:val="both"/>
        <w:rPr>
          <w:rFonts w:ascii="Times New Roman" w:hAnsi="Times New Roman" w:cs="Times New Roman"/>
        </w:rPr>
      </w:pPr>
      <w:r>
        <w:rPr>
          <w:rFonts w:ascii="Times New Roman" w:hAnsi="Times New Roman" w:cs="Times New Roman"/>
          <w:b/>
          <w:bCs/>
        </w:rPr>
        <w:t xml:space="preserve">Proposal 5: </w:t>
      </w:r>
      <w:r>
        <w:rPr>
          <w:rFonts w:ascii="Times New Roman" w:hAnsi="Times New Roman" w:cs="Times New Roman"/>
        </w:rPr>
        <w:t>Both relative and absolute positioning should be studied for all the use cases and scenarios within.</w:t>
      </w:r>
    </w:p>
    <w:p w14:paraId="05925B67" w14:textId="77777777" w:rsidR="00DC012D" w:rsidRDefault="00DC012D">
      <w:pPr>
        <w:jc w:val="both"/>
        <w:rPr>
          <w:rFonts w:ascii="Times New Roman" w:hAnsi="Times New Roman" w:cs="Times New Roman"/>
          <w:b/>
          <w:bCs/>
        </w:rPr>
      </w:pPr>
    </w:p>
    <w:p w14:paraId="5AC936EA" w14:textId="77777777" w:rsidR="00DC012D" w:rsidRDefault="00281552">
      <w:pPr>
        <w:jc w:val="both"/>
        <w:rPr>
          <w:rFonts w:ascii="Times New Roman" w:hAnsi="Times New Roman" w:cs="Times New Roman"/>
        </w:rPr>
      </w:pPr>
      <w:r>
        <w:rPr>
          <w:rFonts w:ascii="Times New Roman" w:hAnsi="Times New Roman" w:cs="Times New Roman"/>
          <w:b/>
          <w:bCs/>
        </w:rPr>
        <w:t xml:space="preserve">Proposal 6: </w:t>
      </w:r>
      <w:r>
        <w:rPr>
          <w:rFonts w:ascii="Times New Roman" w:hAnsi="Times New Roman" w:cs="Times New Roman"/>
        </w:rPr>
        <w:t xml:space="preserve">Rel 18 </w:t>
      </w:r>
      <w:r>
        <w:rPr>
          <w:rFonts w:ascii="Times New Roman" w:hAnsi="Times New Roman" w:cs="Times New Roman"/>
          <w:b/>
          <w:bCs/>
        </w:rPr>
        <w:t>s</w:t>
      </w:r>
      <w:r>
        <w:rPr>
          <w:rFonts w:ascii="Times New Roman" w:hAnsi="Times New Roman" w:cs="Times New Roman"/>
        </w:rPr>
        <w:t>tudy should support ITS and licensed band for sidelink positioning. The unlicensed band should be taken up later depending on the progress in the sidelink item.</w:t>
      </w:r>
    </w:p>
    <w:p w14:paraId="744C8732" w14:textId="77777777" w:rsidR="00DC012D" w:rsidRDefault="00DC012D">
      <w:pPr>
        <w:jc w:val="both"/>
        <w:rPr>
          <w:rFonts w:ascii="Times New Roman" w:hAnsi="Times New Roman" w:cs="Times New Roman"/>
        </w:rPr>
      </w:pPr>
    </w:p>
    <w:p w14:paraId="36EB815A" w14:textId="77777777" w:rsidR="00DC012D" w:rsidRDefault="00281552">
      <w:pPr>
        <w:pStyle w:val="Heading3"/>
        <w:numPr>
          <w:ilvl w:val="0"/>
          <w:numId w:val="0"/>
        </w:numPr>
        <w:jc w:val="both"/>
        <w:rPr>
          <w:rFonts w:ascii="Times New Roman" w:hAnsi="Times New Roman" w:cs="Times New Roman"/>
        </w:rPr>
      </w:pPr>
      <w:r>
        <w:rPr>
          <w:rFonts w:ascii="Times New Roman" w:hAnsi="Times New Roman" w:cs="Times New Roman"/>
        </w:rPr>
        <w:t>References:</w:t>
      </w:r>
    </w:p>
    <w:p w14:paraId="03CE1AAA" w14:textId="77777777" w:rsidR="00DC012D" w:rsidRDefault="00281552">
      <w:pPr>
        <w:numPr>
          <w:ilvl w:val="0"/>
          <w:numId w:val="5"/>
        </w:numPr>
        <w:spacing w:before="240" w:line="259" w:lineRule="auto"/>
        <w:jc w:val="both"/>
        <w:rPr>
          <w:rFonts w:ascii="Times New Roman" w:hAnsi="Times New Roman" w:cs="Times New Roman"/>
        </w:rPr>
      </w:pPr>
      <w:r>
        <w:rPr>
          <w:rFonts w:ascii="Times New Roman" w:eastAsia="Liberation Serif" w:hAnsi="Times New Roman" w:cs="Times New Roman"/>
        </w:rPr>
        <w:t>RP-213588</w:t>
      </w:r>
      <w:r>
        <w:rPr>
          <w:rFonts w:ascii="Times New Roman" w:eastAsia="Liberation Serif" w:hAnsi="Times New Roman" w:cs="Times New Roman"/>
          <w:b/>
          <w:bCs/>
        </w:rPr>
        <w:t xml:space="preserve"> -</w:t>
      </w:r>
      <w:r>
        <w:t xml:space="preserve"> </w:t>
      </w:r>
      <w:r>
        <w:rPr>
          <w:rFonts w:ascii="Times New Roman" w:hAnsi="Times New Roman" w:cs="Times New Roman"/>
          <w:color w:val="auto"/>
        </w:rPr>
        <w:t xml:space="preserve">Revised SID on Study on expanded and improved NR positioning </w:t>
      </w:r>
    </w:p>
    <w:p w14:paraId="14E18B61" w14:textId="77777777" w:rsidR="00DC012D" w:rsidRDefault="00281552">
      <w:pPr>
        <w:numPr>
          <w:ilvl w:val="0"/>
          <w:numId w:val="5"/>
        </w:numPr>
        <w:spacing w:before="240" w:line="259" w:lineRule="auto"/>
        <w:jc w:val="both"/>
        <w:rPr>
          <w:rFonts w:ascii="Times New Roman" w:hAnsi="Times New Roman" w:cs="Times New Roman"/>
        </w:rPr>
      </w:pPr>
      <w:r>
        <w:rPr>
          <w:rFonts w:ascii="Times New Roman" w:hAnsi="Times New Roman" w:cs="Times New Roman"/>
        </w:rPr>
        <w:t xml:space="preserve">R1-2204754 </w:t>
      </w:r>
      <w:r>
        <w:t xml:space="preserve">- </w:t>
      </w:r>
      <w:r>
        <w:rPr>
          <w:rFonts w:ascii="Times New Roman" w:hAnsi="Times New Roman" w:cs="Times New Roman"/>
        </w:rPr>
        <w:t>Discussion on evaluation methods and results of sidelink based positioning</w:t>
      </w:r>
    </w:p>
    <w:p w14:paraId="2BACD4BE" w14:textId="77777777" w:rsidR="00DC012D" w:rsidRDefault="00281552">
      <w:pPr>
        <w:numPr>
          <w:ilvl w:val="0"/>
          <w:numId w:val="5"/>
        </w:numPr>
        <w:spacing w:before="240" w:line="259" w:lineRule="auto"/>
        <w:jc w:val="both"/>
        <w:rPr>
          <w:rFonts w:ascii="Times New Roman" w:hAnsi="Times New Roman" w:cs="Times New Roman"/>
        </w:rPr>
      </w:pPr>
      <w:r>
        <w:rPr>
          <w:rFonts w:ascii="Times New Roman" w:hAnsi="Times New Roman" w:cs="Times New Roman"/>
        </w:rPr>
        <w:t>R1-2204755 - Discussion on potential solutions for sidelink based positioning</w:t>
      </w:r>
    </w:p>
    <w:p w14:paraId="206A41F6" w14:textId="77777777" w:rsidR="00DC012D" w:rsidRDefault="00281552">
      <w:pPr>
        <w:numPr>
          <w:ilvl w:val="0"/>
          <w:numId w:val="5"/>
        </w:numPr>
        <w:spacing w:before="240" w:line="259" w:lineRule="auto"/>
        <w:jc w:val="both"/>
        <w:rPr>
          <w:rFonts w:ascii="Times New Roman" w:hAnsi="Times New Roman" w:cs="Times New Roman"/>
        </w:rPr>
      </w:pPr>
      <w:r>
        <w:rPr>
          <w:rFonts w:ascii="Times New Roman" w:hAnsi="Times New Roman" w:cs="Times New Roman"/>
        </w:rPr>
        <w:lastRenderedPageBreak/>
        <w:t xml:space="preserve">TS </w:t>
      </w:r>
      <w:r>
        <w:rPr>
          <w:rFonts w:ascii="Times New Roman" w:hAnsi="Times New Roman" w:cs="Times New Roman"/>
          <w:color w:val="auto"/>
        </w:rPr>
        <w:t xml:space="preserve">38.845 V 2.0.0- </w:t>
      </w:r>
      <w:r>
        <w:t>Study on scenarios and requirements of in-coverage, partial coverage, and out-of-coverage NR positioning use cases</w:t>
      </w:r>
    </w:p>
    <w:p w14:paraId="2771320A" w14:textId="77777777" w:rsidR="00DC012D" w:rsidRDefault="00281552">
      <w:pPr>
        <w:numPr>
          <w:ilvl w:val="0"/>
          <w:numId w:val="5"/>
        </w:numPr>
        <w:spacing w:before="240" w:line="259" w:lineRule="auto"/>
        <w:jc w:val="both"/>
        <w:rPr>
          <w:rFonts w:ascii="Times New Roman" w:hAnsi="Times New Roman" w:cs="Times New Roman"/>
        </w:rPr>
      </w:pPr>
      <w:r>
        <w:t>5GAA: System Architecture and Solution Development; High-Accuracy Positioning for C-V2X</w:t>
      </w:r>
    </w:p>
    <w:p w14:paraId="3C9981E6" w14:textId="77777777" w:rsidR="00DC012D" w:rsidRDefault="00DC012D">
      <w:pPr>
        <w:jc w:val="both"/>
        <w:rPr>
          <w:rFonts w:ascii="Times New Roman" w:hAnsi="Times New Roman" w:cs="Times New Roman"/>
        </w:rPr>
      </w:pPr>
    </w:p>
    <w:p w14:paraId="68192D58" w14:textId="77777777" w:rsidR="00DC012D" w:rsidRDefault="00DC012D">
      <w:pPr>
        <w:jc w:val="both"/>
        <w:rPr>
          <w:rFonts w:ascii="Times New Roman" w:hAnsi="Times New Roman" w:cs="Times New Roman"/>
          <w:i/>
          <w:iCs/>
        </w:rPr>
      </w:pPr>
    </w:p>
    <w:p w14:paraId="28ED6C2D" w14:textId="77777777" w:rsidR="00DC012D" w:rsidRDefault="00DC012D">
      <w:pPr>
        <w:jc w:val="both"/>
        <w:rPr>
          <w:rFonts w:ascii="Times New Roman" w:hAnsi="Times New Roman" w:cs="Times New Roman"/>
          <w:i/>
          <w:iCs/>
        </w:rPr>
      </w:pPr>
    </w:p>
    <w:p w14:paraId="375BC0B5" w14:textId="77777777" w:rsidR="00DC012D" w:rsidRDefault="00DC012D">
      <w:pPr>
        <w:jc w:val="both"/>
        <w:rPr>
          <w:rFonts w:ascii="Times New Roman" w:hAnsi="Times New Roman" w:cs="Times New Roman"/>
          <w:i/>
          <w:iCs/>
        </w:rPr>
      </w:pPr>
    </w:p>
    <w:p w14:paraId="55FCA8BC" w14:textId="77777777" w:rsidR="00DC012D" w:rsidRDefault="00DC012D">
      <w:pPr>
        <w:jc w:val="both"/>
        <w:rPr>
          <w:rFonts w:ascii="Times New Roman" w:hAnsi="Times New Roman" w:cs="Times New Roman"/>
          <w:i/>
          <w:iCs/>
        </w:rPr>
      </w:pPr>
    </w:p>
    <w:p w14:paraId="58E20AFD" w14:textId="77777777" w:rsidR="00DC012D" w:rsidRDefault="00DC012D">
      <w:pPr>
        <w:jc w:val="both"/>
        <w:rPr>
          <w:rFonts w:ascii="Times New Roman" w:hAnsi="Times New Roman" w:cs="Times New Roman"/>
        </w:rPr>
      </w:pPr>
    </w:p>
    <w:sectPr w:rsidR="00DC012D">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43E1"/>
    <w:multiLevelType w:val="multilevel"/>
    <w:tmpl w:val="9FA066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70404A9"/>
    <w:multiLevelType w:val="multilevel"/>
    <w:tmpl w:val="C93220B8"/>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0B35AC1"/>
    <w:multiLevelType w:val="multilevel"/>
    <w:tmpl w:val="ADEE1E56"/>
    <w:lvl w:ilvl="0">
      <w:start w:val="59"/>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3"/>
      <w:numFmt w:val="decimal"/>
      <w:lvlText w:val="%3."/>
      <w:lvlJc w:val="left"/>
      <w:pPr>
        <w:tabs>
          <w:tab w:val="num" w:pos="0"/>
        </w:tabs>
        <w:ind w:left="360" w:hanging="36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upperRoman"/>
      <w:lvlText w:val="%6."/>
      <w:lvlJc w:val="right"/>
      <w:pPr>
        <w:tabs>
          <w:tab w:val="num" w:pos="0"/>
        </w:tabs>
        <w:ind w:left="36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AEB2855"/>
    <w:multiLevelType w:val="multilevel"/>
    <w:tmpl w:val="1B6E928C"/>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CFE0D43"/>
    <w:multiLevelType w:val="multilevel"/>
    <w:tmpl w:val="EC90E04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F0A76BA"/>
    <w:multiLevelType w:val="multilevel"/>
    <w:tmpl w:val="20141B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0"/>
        </w:tabs>
        <w:ind w:left="360" w:hanging="36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89323755">
    <w:abstractNumId w:val="1"/>
  </w:num>
  <w:num w:numId="2" w16cid:durableId="650597308">
    <w:abstractNumId w:val="5"/>
  </w:num>
  <w:num w:numId="3" w16cid:durableId="1842620824">
    <w:abstractNumId w:val="0"/>
  </w:num>
  <w:num w:numId="4" w16cid:durableId="516040939">
    <w:abstractNumId w:val="2"/>
  </w:num>
  <w:num w:numId="5" w16cid:durableId="1637834338">
    <w:abstractNumId w:val="4"/>
  </w:num>
  <w:num w:numId="6" w16cid:durableId="229508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DC012D"/>
    <w:rsid w:val="00281552"/>
    <w:rsid w:val="0047764C"/>
    <w:rsid w:val="00625D74"/>
    <w:rsid w:val="00853383"/>
    <w:rsid w:val="00DC012D"/>
    <w:rsid w:val="00F706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1DF3"/>
  <w15:docId w15:val="{31E979A4-2A58-48BD-A2B7-6750F57B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Normal"/>
    <w:next w:val="Normal"/>
    <w:uiPriority w:val="9"/>
    <w:qFormat/>
    <w:pPr>
      <w:widowControl w:val="0"/>
      <w:numPr>
        <w:numId w:val="1"/>
      </w:numPr>
      <w:spacing w:before="360" w:after="60"/>
      <w:ind w:left="862" w:hanging="862"/>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uiPriority w:val="34"/>
    <w:qFormat/>
    <w:rsid w:val="00861920"/>
    <w:pPr>
      <w:ind w:left="720"/>
      <w:contextualSpacing/>
    </w:pPr>
    <w:rPr>
      <w:rFonts w:cs="Mangal"/>
      <w:szCs w:val="21"/>
    </w:rPr>
  </w:style>
  <w:style w:type="table" w:styleId="GridTable1Light-Accent1">
    <w:name w:val="Grid Table 1 Light Accent 1"/>
    <w:basedOn w:val="TableNormal"/>
    <w:uiPriority w:val="46"/>
    <w:rsid w:val="00CD42CA"/>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D42CA"/>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D42C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A5A5A5" w:themeColor="accent3"/>
        </w:tcBorders>
      </w:tcPr>
    </w:tblStylePr>
    <w:tblStylePr w:type="lastRow">
      <w:rPr>
        <w:b/>
        <w:bCs/>
      </w:rPr>
      <w:tblPr/>
      <w:tcPr>
        <w:tcBorders>
          <w:top w:val="double" w:sz="2" w:space="0" w:color="A5A5A5" w:themeColor="accent3"/>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D42C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70AD47" w:themeColor="accent6"/>
        </w:tcBorders>
      </w:tcPr>
    </w:tblStylePr>
    <w:tblStylePr w:type="lastRow">
      <w:rPr>
        <w:b/>
        <w:bCs/>
      </w:rPr>
      <w:tblPr/>
      <w:tcPr>
        <w:tcBorders>
          <w:top w:val="double" w:sz="2" w:space="0" w:color="70AD47" w:themeColor="accent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6</Pages>
  <Words>2034</Words>
  <Characters>11595</Characters>
  <Application>Microsoft Office Word</Application>
  <DocSecurity>0</DocSecurity>
  <Lines>96</Lines>
  <Paragraphs>27</Paragraphs>
  <ScaleCrop>false</ScaleCrop>
  <Company/>
  <LinksUpToDate>false</LinksUpToDate>
  <CharactersWithSpaces>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8</cp:revision>
  <dcterms:created xsi:type="dcterms:W3CDTF">2022-04-27T01:25:00Z</dcterms:created>
  <dcterms:modified xsi:type="dcterms:W3CDTF">2022-04-29T06:57:00Z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